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REGULATORY CAPITAL ANALYSIS - SMART RECOMMENDATIONS</w:t>
      </w:r>
    </w:p>
    <w:p>
      <w:pPr>
        <w:pStyle w:val="Heading1"/>
      </w:pPr>
      <w:r>
        <w:t>Executive Summary</w:t>
      </w:r>
    </w:p>
    <w:p>
      <w:r>
        <w:t>Analysis Date: 2026-08-02</w:t>
      </w:r>
    </w:p>
    <w:p>
      <w:r>
        <w:t>Total Loans: 4,000</w:t>
      </w:r>
    </w:p>
    <w:p>
      <w:r>
        <w:t>Total RWA: $229,380,068.29</w:t>
      </w:r>
    </w:p>
    <w:p>
      <w:r>
        <w:t>Data Quality: 0.9984</w:t>
      </w:r>
    </w:p>
    <w:p>
      <w:pPr>
        <w:pStyle w:val="Heading1"/>
      </w:pPr>
      <w:r>
        <w:t>SMART Objectives</w:t>
      </w:r>
    </w:p>
    <w:p>
      <w:r>
        <w:t>Specific: Maintain Basel III capital ratios above regulatory minimums</w:t>
      </w:r>
    </w:p>
    <w:p>
      <w:r>
        <w:t>Measurable: CET1 ≥ 10.2%, TIER1 ≥ 12.5%, TOTAL ≥ 15.5% within 12 months</w:t>
      </w:r>
    </w:p>
    <w:p>
      <w:r>
        <w:t>Achievable: Implement portfolio optimization and risk management</w:t>
      </w:r>
    </w:p>
    <w:p>
      <w:r>
        <w:t>Relevant: Ensure regulatory compliance and bank stability</w:t>
      </w:r>
    </w:p>
    <w:p>
      <w:r>
        <w:t>Time-bound: Quarterly reviews; annual stress test validation</w:t>
      </w:r>
    </w:p>
    <w:p>
      <w:pPr>
        <w:pStyle w:val="Heading1"/>
      </w:pPr>
      <w:r>
        <w:t>Capital Ratios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Ratio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CET1</w:t>
            </w:r>
          </w:p>
        </w:tc>
        <w:tc>
          <w:tcPr>
            <w:tcW w:type="dxa" w:w="2880"/>
          </w:tcPr>
          <w:p>
            <w:r>
              <w:t>0.9564</w:t>
            </w:r>
          </w:p>
        </w:tc>
        <w:tc>
          <w:tcPr>
            <w:tcW w:type="dxa" w:w="2880"/>
          </w:tcPr>
          <w:p>
            <w:r>
              <w:t>0.0625</w:t>
            </w:r>
          </w:p>
        </w:tc>
      </w:tr>
      <w:tr>
        <w:tc>
          <w:tcPr>
            <w:tcW w:type="dxa" w:w="2880"/>
          </w:tcPr>
          <w:p>
            <w:r>
              <w:t>TIER1</w:t>
            </w:r>
          </w:p>
        </w:tc>
        <w:tc>
          <w:tcPr>
            <w:tcW w:type="dxa" w:w="2880"/>
          </w:tcPr>
          <w:p>
            <w:r>
              <w:t>1.1614</w:t>
            </w:r>
          </w:p>
        </w:tc>
        <w:tc>
          <w:tcPr>
            <w:tcW w:type="dxa" w:w="2880"/>
          </w:tcPr>
          <w:p>
            <w:r>
              <w:t>0.0700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1.3663</w:t>
            </w:r>
          </w:p>
        </w:tc>
        <w:tc>
          <w:tcPr>
            <w:tcW w:type="dxa" w:w="2880"/>
          </w:tcPr>
          <w:p>
            <w:r>
              <w:t>0.0875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