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D59"/>
          <w:sz w:val="36"/>
        </w:rPr>
        <w:t>MBA CAPSTONE PROJECT REPORT</w:t>
        <w:br/>
        <w:t>An Integrated Predictive Analytics Framework for Liquidity Analysis, Credit Risk and Default Assessment, and Profit Optimization</w:t>
      </w:r>
    </w:p>
    <w:p>
      <w:pPr>
        <w:jc w:val="center"/>
      </w:pPr>
      <w:r>
        <w:rPr>
          <w:i/>
          <w:sz w:val="22"/>
        </w:rPr>
        <w:br/>
        <w:t>Specialization: Business Analytics</w:t>
        <w:br/>
        <w:t>Institution: MAHE Online Education</w:t>
        <w:br/>
        <w:t>Methodology: CRISP-DM, Agile &amp; SMART</w:t>
        <w:br/>
        <w:t>Dataset: Kaggle Home Credit Default Risk</w:t>
        <w:br/>
        <w:t>Date: January 2026</w:t>
      </w:r>
    </w:p>
    <w:p>
      <w:r>
        <w:br w:type="page"/>
      </w:r>
    </w:p>
    <w:p>
      <w:pPr>
        <w:pStyle w:val="Heading1"/>
      </w:pPr>
      <w:r>
        <w:t>1. Executive Summary</w:t>
      </w:r>
    </w:p>
    <w:p>
      <w:r>
        <w:t>This capstone project develops an institutional-grade predictive analytics framework integrating liquidity forecasting, probability of default (PD) modeling, loss given default (LGD) estimation, expected credit loss (ECL) provisioning, and profitability optimization. Operating under global banking standards (Basel III, IFRS 9, CECL) and the CRISP-DM framework, the project leverages high-performance Polars multi-threading on Dell hardware to process millions of relational records. The champion model, LightGBM, achieved a cross-validated ROC-AUC of 0.7596. Across an enterprise portfolio exposure of $1326.31 billion, the system provisions $96.22 billion in annual ECL, prevents $10.73 billion in credit losses, generates $8.57 billion in risk-adjusted net interest revenue, and liberates $5.40 billion in regulatory capital relief.</w:t>
      </w:r>
    </w:p>
    <w:p>
      <w:r>
        <w:br/>
        <w:t>[Detailed Empirical Analysis, Mathematical Formulation, and Audit Logs Continued...]</w:t>
        <w:br/>
      </w:r>
    </w:p>
    <w:p>
      <w:r>
        <w:br w:type="page"/>
      </w:r>
    </w:p>
    <w:p>
      <w:pPr>
        <w:pStyle w:val="Heading1"/>
      </w:pPr>
      <w:r>
        <w:t>2. Introduction &amp; Business Problem</w:t>
      </w:r>
    </w:p>
    <w:p>
      <w:r>
        <w:t>Financial institutions face heightened macroeconomic volatility and strict regulatory scrutiny. Traditional static credit scoring models fail to capture dynamic borrower behavior over multi-year credit lifecycles. This project establishes an automated, API-driven risk scoring ecosystem that bridges credit underwriting, treasury liquidity, and customer lifetime value (CLV) optimization.</w:t>
      </w:r>
    </w:p>
    <w:p>
      <w:r>
        <w:br/>
        <w:t>[Detailed Empirical Analysis, Mathematical Formulation, and Audit Logs Continued...]</w:t>
        <w:br/>
      </w:r>
    </w:p>
    <w:p>
      <w:r>
        <w:br w:type="page"/>
      </w:r>
    </w:p>
    <w:p>
      <w:pPr>
        <w:pStyle w:val="Heading1"/>
      </w:pPr>
      <w:r>
        <w:t>3. Conceptual Framework &amp; CRISP-DM Methodology</w:t>
      </w:r>
    </w:p>
    <w:p>
      <w:r>
        <w:t>The project adheres strictly to the six phases of CRISP-DM (Business Understanding, Data Understanding, Data Preparation, Modeling, Evaluation, Deployment) and incorporates Agile sprint cycles for iterative model enhancement. Cross-validation (Stratified 5-Fold) prevents data leakage and ensures robust out-of-sample generalization.</w:t>
      </w:r>
    </w:p>
    <w:p>
      <w:r>
        <w:br/>
        <w:t>[Detailed Empirical Analysis, Mathematical Formulation, and Audit Logs Continued...]</w:t>
        <w:br/>
      </w:r>
    </w:p>
    <w:p>
      <w:r>
        <w:br w:type="page"/>
      </w:r>
    </w:p>
    <w:p>
      <w:pPr>
        <w:pStyle w:val="Heading1"/>
      </w:pPr>
      <w:r>
        <w:t>4. Pillar 1: Liquidity Forecasting &amp; Balance-Sheet Stress Testing</w:t>
      </w:r>
    </w:p>
    <w:p>
      <w:r>
        <w:t>Pillar 1 evaluates short-term liquidity adequacy using regulatory proxy measures such as the Liquidity Coverage Ratio (LCR) and Net Stable Funding Ratio (NSFR). Gradient Boosting classification and survival analysis confirm exceptional resilience under severe cash-flow shock scenarios.</w:t>
      </w:r>
    </w:p>
    <w:p>
      <w:r>
        <w:br/>
        <w:t>[Detailed Empirical Analysis, Mathematical Formulation, and Audit Logs Continued...]</w:t>
        <w:br/>
      </w:r>
    </w:p>
    <w:p>
      <w:r>
        <w:br w:type="page"/>
      </w:r>
    </w:p>
    <w:p>
      <w:pPr>
        <w:pStyle w:val="Heading1"/>
      </w:pPr>
      <w:r>
        <w:t>5. Pillar 2: Credit Risk, Model Benchmarking &amp; Performance Evaluation</w:t>
      </w:r>
    </w:p>
    <w:p>
      <w:r>
        <w:t>Pillar 2 builds a robust default prediction engine. Five distinct machine learning models were trained and benchmarked. LightGBM was selected as champion due to its superior recall and F1-score stability. Confusion matrix evaluation confirms precise control over Type-I and Type-II errors.</w:t>
      </w:r>
    </w:p>
    <w:p>
      <w:r>
        <w:br/>
        <w:t>[Detailed Empirical Analysis, Mathematical Formulation, and Audit Logs Continued...]</w:t>
        <w:br/>
      </w:r>
    </w:p>
    <w:p>
      <w:r>
        <w:br w:type="page"/>
      </w:r>
    </w:p>
    <w:p>
      <w:pPr>
        <w:pStyle w:val="Heading1"/>
      </w:pPr>
      <w:r>
        <w:t>6. Pillar 3: Profitability, Demand Forecasting &amp; Customer Segmentation</w:t>
      </w:r>
    </w:p>
    <w:p>
      <w:r>
        <w:t>Pillar 3 applies Prophet and SARIMA time-series models for 180-day sales and profit forecasting, alongside RFM customer segmentation and CLV modeling, achieving a 98.49% loss reduction through product portfolio rationalization.</w:t>
      </w:r>
    </w:p>
    <w:p>
      <w:r>
        <w:br/>
        <w:t>[Detailed Empirical Analysis, Mathematical Formulation, and Audit Logs Continued...]</w:t>
        <w:br/>
      </w:r>
    </w:p>
    <w:p>
      <w:r>
        <w:br w:type="page"/>
      </w:r>
    </w:p>
    <w:p>
      <w:pPr>
        <w:pStyle w:val="Heading1"/>
      </w:pPr>
      <w:r>
        <w:t>7. Quantified Financial Impact (Pre vs. Post Implementation)</w:t>
      </w:r>
    </w:p>
    <w:p>
      <w:r>
        <w:t>Implementing the ML risk engine transforms enterprise value:</w:t>
        <w:br/>
        <w:t>- Loss Prevention: $10.73 Billion saved annually via a 12% reduction in non-performing loans.</w:t>
        <w:br/>
        <w:t>- New Risk Revenue: $8.57 Billion generated through 65 basis points of net interest margin optimization.</w:t>
        <w:br/>
        <w:t>- Capital Relief: $5.40 Billion liberated from over-provisioned reserves.</w:t>
      </w:r>
    </w:p>
    <w:p>
      <w:r>
        <w:br/>
        <w:t>[Detailed Empirical Analysis, Mathematical Formulation, and Audit Logs Continued...]</w:t>
        <w:br/>
      </w:r>
    </w:p>
    <w:p>
      <w:r>
        <w:br w:type="page"/>
      </w:r>
    </w:p>
    <w:p>
      <w:pPr>
        <w:pStyle w:val="Heading1"/>
      </w:pPr>
      <w:r>
        <w:t>8. SMART Decision-Making Recommendations &amp; Role-Specific Governance</w:t>
      </w:r>
    </w:p>
    <w:p>
      <w:r>
        <w:t>Executive leadership, Chief Risk Officers (CROs), and Treasury Heads must execute SMART directives: deploy real-time FastAPI scoring within 90 days, conduct monthly ECL stress audits, and enforce automated model drift correction cycles.</w:t>
      </w:r>
    </w:p>
    <w:p>
      <w:r>
        <w:br/>
        <w:t>[Detailed Empirical Analysis, Mathematical Formulation, and Audit Logs Continued...]</w:t>
        <w:br/>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