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Probability of Default (PD) &amp; ECL Report</w:t>
      </w:r>
    </w:p>
    <w:p>
      <w:pPr>
        <w:pStyle w:val="Heading1"/>
      </w:pPr>
      <w:r>
        <w:t>1. Executive Summary</w:t>
      </w:r>
    </w:p>
    <w:p>
      <w:r>
        <w:t>Model trained on multi-dataset schema. Champion: LightGBM (ROC-AUC: 0.7515).</w:t>
      </w:r>
    </w:p>
    <w:p>
      <w:pPr>
        <w:pStyle w:val="Heading1"/>
      </w:pPr>
      <w:r>
        <w:t>2. Financial Impact &amp; ECL Results</w:t>
      </w:r>
    </w:p>
    <w:p>
      <w:r>
        <w:t>Total Exposure: $184,207,084,195.50 | Total ECL: $12,467,354,994.72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