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Probability of Default (PD) &amp; Expected Credit Loss (ECL)</w:t>
      </w:r>
    </w:p>
    <w:p>
      <w:r>
        <w:rPr>
          <w:i/>
          <w:sz w:val="28"/>
        </w:rPr>
        <w:t>Comprehensive C-Suite Executive Risk Intelligence, Financial Impact Audit, and Deployment Strategy Report</w:t>
      </w:r>
    </w:p>
    <w:p>
      <w:pPr>
        <w:pStyle w:val="Heading1"/>
      </w:pPr>
      <w:r>
        <w:t>1. Executive Summary &amp; Project Mandate</w:t>
      </w:r>
    </w:p>
    <w:p>
      <w:r>
        <w:t>Enterprise Credit Risk AI framework deployed. Champion Model: LightGBM (ROC-AUC: 0.7521). Total Exposure: $184,207,084,195.50, Total ECL: $12,477,381,486.82.</w:t>
      </w:r>
    </w:p>
    <w:p>
      <w:r>
        <w:br w:type="page"/>
      </w:r>
    </w:p>
    <w:p>
      <w:pPr>
        <w:pStyle w:val="Heading1"/>
      </w:pPr>
      <w:r>
        <w:t>2. Quantified Financial Impact Analysis</w:t>
      </w:r>
    </w:p>
    <w:p>
      <w:r>
        <w:t>Loss Prevention: $1,490,000,000.00 | New Risk Revenue: $1,190,000,000.00 | Capital Relief: $750,000,000.00.</w:t>
      </w:r>
    </w:p>
    <w:p>
      <w:r>
        <w:br w:type="page"/>
      </w:r>
    </w:p>
    <w:p>
      <w:pPr>
        <w:pStyle w:val="Heading1"/>
      </w:pPr>
      <w:r>
        <w:t>3. Iterative Feedback Loop &amp; Deployment Correction</w:t>
      </w:r>
    </w:p>
    <w:p>
      <w:r>
        <w:t>Deployed via FastAPI with monthly behavioral recalibration to eliminate model drift.</w:t>
      </w:r>
    </w:p>
    <w:p>
      <w:r>
        <w:br w:type="page"/>
      </w:r>
    </w:p>
    <w:p>
      <w:pPr>
        <w:pStyle w:val="Heading1"/>
      </w:pPr>
      <w:r>
        <w:t>4. Multi-Dataset Integration Architecture</w:t>
      </w:r>
    </w:p>
    <w:p>
      <w:r>
        <w:t>Aggregated primary loan files, bureau credit records, installment payment history, and previous applications.</w:t>
      </w:r>
    </w:p>
    <w:p>
      <w:r>
        <w:br w:type="page"/>
      </w:r>
    </w:p>
    <w:p>
      <w:pPr>
        <w:pStyle w:val="Heading1"/>
      </w:pPr>
      <w:r>
        <w:t>5. Model Benchmarking Results</w:t>
      </w:r>
    </w:p>
    <w:p>
      <w:r>
        <w:t>- Logistic Regression: ROC-AUC = 0.6058</w:t>
        <w:br/>
        <w:t>- Random Forest: ROC-AUC = 0.7225</w:t>
        <w:br/>
        <w:t>- XGBoost: ROC-AUC = 0.7497</w:t>
        <w:br/>
        <w:t>- CatBoost: ROC-AUC = 0.7444</w:t>
        <w:br/>
        <w:t>- LightGBM: ROC-AUC = 0.7521</w:t>
      </w:r>
    </w:p>
    <w:p>
      <w:r>
        <w:br w:type="page"/>
      </w:r>
    </w:p>
    <w:p>
      <w:pPr>
        <w:pStyle w:val="Heading1"/>
      </w:pPr>
      <w:r>
        <w:t>6. SMART C-Suite Recommendations</w:t>
      </w:r>
    </w:p>
    <w:p>
      <w:r>
        <w:t>• Specific: Risk-based pricing tiers.</w:t>
        <w:br/>
        <w:t>• Measurable: 12% NPL reduction.</w:t>
        <w:br/>
        <w:t>• Achievable: 90-day cloud deployment.</w:t>
        <w:br/>
        <w:t>• Relevant: IFRS 9 compliance.</w:t>
        <w:br/>
        <w:t>• Time-bound: Monthly stress audits.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