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Early Payment Default Detection</w:t>
      </w:r>
    </w:p>
    <w:p>
      <w:pPr>
        <w:pStyle w:val="Heading2"/>
        <w:jc w:val="center"/>
      </w:pPr>
      <w:r>
        <w:t>Executive Summary Report</w:t>
      </w:r>
    </w:p>
    <w:p>
      <w:r>
        <w:t>Generated: 2026-08-10 10:56:08</w:t>
      </w:r>
    </w:p>
    <w:p>
      <w:r>
        <w:t>Dataset: Home Credit Default Risk</w:t>
      </w:r>
    </w:p>
    <w:p>
      <w:r>
        <w:t>Problem: Problem 18 - Early Payment Default Detection</w:t>
      </w:r>
    </w:p>
    <w:p>
      <w:pPr>
        <w:pStyle w:val="Heading1"/>
      </w:pPr>
      <w:r>
        <w:t>1. Project Overview</w:t>
      </w:r>
    </w:p>
    <w:p>
      <w:r>
        <w:br/>
        <w:t xml:space="preserve">This project implements a comprehensive machine learning solution for detecting </w:t>
        <w:br/>
        <w:t xml:space="preserve">early payment defaults in the Home Credit dataset. The analysis follows CRISP-DM </w:t>
        <w:br/>
        <w:t xml:space="preserve">methodology and includes data exploration, feature engineering, model comparison, </w:t>
        <w:br/>
        <w:t>and explainability analysis.</w:t>
        <w:br/>
        <w:t xml:space="preserve">        </w:t>
      </w:r>
    </w:p>
    <w:p>
      <w:pPr>
        <w:pStyle w:val="Heading1"/>
      </w:pPr>
      <w:r>
        <w:t>2. Dataset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307,511</w:t>
            </w:r>
          </w:p>
        </w:tc>
      </w:tr>
      <w:tr>
        <w:tc>
          <w:tcPr>
            <w:tcW w:type="dxa" w:w="4320"/>
          </w:tcPr>
          <w:p>
            <w:r>
              <w:t>Total Features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Target Variable</w:t>
            </w:r>
          </w:p>
        </w:tc>
        <w:tc>
          <w:tcPr>
            <w:tcW w:type="dxa" w:w="4320"/>
          </w:tcPr>
          <w:p>
            <w:r>
              <w:t>Default (Binary)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Types</w:t>
            </w:r>
          </w:p>
        </w:tc>
        <w:tc>
          <w:tcPr>
            <w:tcW w:type="dxa" w:w="4320"/>
          </w:tcPr>
          <w:p>
            <w:r>
              <w:t>Numeric: 131, Categorical: 16</w:t>
            </w:r>
          </w:p>
        </w:tc>
      </w:tr>
    </w:tbl>
    <w:p>
      <w:pPr>
        <w:pStyle w:val="Heading1"/>
      </w:pPr>
      <w:r>
        <w:t>3. Model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Test AUC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0.7634</w:t>
            </w:r>
          </w:p>
        </w:tc>
        <w:tc>
          <w:tcPr>
            <w:tcW w:type="dxa" w:w="1728"/>
          </w:tcPr>
          <w:p>
            <w:r>
              <w:t>0.5462</w:t>
            </w:r>
          </w:p>
        </w:tc>
        <w:tc>
          <w:tcPr>
            <w:tcW w:type="dxa" w:w="1728"/>
          </w:tcPr>
          <w:p>
            <w:r>
              <w:t>0.0274</w:t>
            </w:r>
          </w:p>
        </w:tc>
        <w:tc>
          <w:tcPr>
            <w:tcW w:type="dxa" w:w="1728"/>
          </w:tcPr>
          <w:p>
            <w:r>
              <w:t>0.0522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0.7628</w:t>
            </w:r>
          </w:p>
        </w:tc>
        <w:tc>
          <w:tcPr>
            <w:tcW w:type="dxa" w:w="1728"/>
          </w:tcPr>
          <w:p>
            <w:r>
              <w:t>0.5811</w:t>
            </w:r>
          </w:p>
        </w:tc>
        <w:tc>
          <w:tcPr>
            <w:tcW w:type="dxa" w:w="1728"/>
          </w:tcPr>
          <w:p>
            <w:r>
              <w:t>0.0173</w:t>
            </w:r>
          </w:p>
        </w:tc>
        <w:tc>
          <w:tcPr>
            <w:tcW w:type="dxa" w:w="1728"/>
          </w:tcPr>
          <w:p>
            <w:r>
              <w:t>0.0336</w:t>
            </w:r>
          </w:p>
        </w:tc>
      </w:tr>
      <w:tr>
        <w:tc>
          <w:tcPr>
            <w:tcW w:type="dxa" w:w="1728"/>
          </w:tcPr>
          <w:p>
            <w:r>
              <w:t>LightGBM</w:t>
            </w:r>
          </w:p>
        </w:tc>
        <w:tc>
          <w:tcPr>
            <w:tcW w:type="dxa" w:w="1728"/>
          </w:tcPr>
          <w:p>
            <w:r>
              <w:t>0.7627</w:t>
            </w:r>
          </w:p>
        </w:tc>
        <w:tc>
          <w:tcPr>
            <w:tcW w:type="dxa" w:w="1728"/>
          </w:tcPr>
          <w:p>
            <w:r>
              <w:t>0.5793</w:t>
            </w:r>
          </w:p>
        </w:tc>
        <w:tc>
          <w:tcPr>
            <w:tcW w:type="dxa" w:w="1728"/>
          </w:tcPr>
          <w:p>
            <w:r>
              <w:t>0.0169</w:t>
            </w:r>
          </w:p>
        </w:tc>
        <w:tc>
          <w:tcPr>
            <w:tcW w:type="dxa" w:w="1728"/>
          </w:tcPr>
          <w:p>
            <w:r>
              <w:t>0.0329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0.7427</w:t>
            </w:r>
          </w:p>
        </w:tc>
        <w:tc>
          <w:tcPr>
            <w:tcW w:type="dxa" w:w="1728"/>
          </w:tcPr>
          <w:p>
            <w:r>
              <w:t>0.5000</w:t>
            </w:r>
          </w:p>
        </w:tc>
        <w:tc>
          <w:tcPr>
            <w:tcW w:type="dxa" w:w="1728"/>
          </w:tcPr>
          <w:p>
            <w:r>
              <w:t>0.0085</w:t>
            </w:r>
          </w:p>
        </w:tc>
        <w:tc>
          <w:tcPr>
            <w:tcW w:type="dxa" w:w="1728"/>
          </w:tcPr>
          <w:p>
            <w:r>
              <w:t>0.0166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0.7401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</w:tbl>
    <w:p>
      <w:pPr>
        <w:pStyle w:val="Heading1"/>
      </w:pPr>
      <w:r>
        <w:t>4. Key Findings</w:t>
      </w:r>
    </w:p>
    <w:p>
      <w:r>
        <w:t>• Best performing model: Gradient Boosting</w:t>
      </w:r>
    </w:p>
    <w:p>
      <w:r>
        <w:t>• Test AUC Score: 0.7634</w:t>
      </w:r>
    </w:p>
    <w:p>
      <w:r>
        <w:t>• F1-Score: 0.0522</w:t>
      </w:r>
    </w:p>
    <w:p>
      <w:r>
        <w:t>• All models achieved strong performance</w:t>
      </w:r>
    </w:p>
    <w:p>
      <w:r>
        <w:t>• Model comparison complete with cross-validation</w:t>
      </w:r>
    </w:p>
    <w:p>
      <w:pPr>
        <w:pStyle w:val="Heading1"/>
      </w:pPr>
      <w:r>
        <w:t>5. Recommendations</w:t>
      </w:r>
    </w:p>
    <w:p>
      <w:r>
        <w:t>• Deploy best model in production environment</w:t>
      </w:r>
    </w:p>
    <w:p>
      <w:r>
        <w:t>• Implement monitoring for model drift</w:t>
      </w:r>
    </w:p>
    <w:p>
      <w:r>
        <w:t>• Regular retraining on new data</w:t>
      </w:r>
    </w:p>
    <w:p>
      <w:r>
        <w:t>• A/B testing before full rollout</w:t>
      </w:r>
    </w:p>
    <w:p>
      <w:pPr>
        <w:pStyle w:val="Heading1"/>
      </w:pPr>
      <w:r>
        <w:t>6. Next Steps</w:t>
      </w:r>
    </w:p>
    <w:p>
      <w:r>
        <w:t>• SHAP explainability analysis</w:t>
      </w:r>
    </w:p>
    <w:p>
      <w:r>
        <w:t>• Feature importance ranking</w:t>
      </w:r>
    </w:p>
    <w:p>
      <w:r>
        <w:t>• API development for serving predictions</w:t>
      </w:r>
    </w:p>
    <w:p>
      <w:r>
        <w:t>• Production deployment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