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PROBLEM 3: RISK TIER CLASSIFICATION</w:t>
      </w:r>
    </w:p>
    <w:p>
      <w:pPr>
        <w:pStyle w:val="Heading2"/>
        <w:jc w:val="center"/>
      </w:pPr>
      <w:r>
        <w:t>5-Level Risk Stratification Model</w:t>
      </w:r>
    </w:p>
    <w:p>
      <w:pPr>
        <w:jc w:val="center"/>
      </w:pPr>
      <w:r>
        <w:t>Execution Date: 2026-07-26 11:42:46</w:t>
      </w:r>
    </w:p>
    <w:p>
      <w:pPr>
        <w:jc w:val="center"/>
      </w:pPr>
      <w:r>
        <w:t>Enterprise Production-Grade Analysis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br/>
        <w:t>This comprehensive report presents the results of Problem 3: Risk Tier Classification.</w:t>
        <w:br/>
        <w:t>The objective was to develop a production-grade multi-class classification model that accurately</w:t>
        <w:br/>
        <w:t>stratifies credit applicants into five distinct risk tiers.</w:t>
        <w:br/>
        <w:br/>
        <w:t>KEY RESULTS:</w:t>
        <w:br/>
        <w:t>• Best Model: LightGBM</w:t>
        <w:br/>
        <w:t>• Test Accuracy: 38.47%</w:t>
        <w:br/>
        <w:t>• Weighted F1-Score: 0.3675</w:t>
        <w:br/>
        <w:t>• Cohen's Kappa: 0.2309</w:t>
        <w:br/>
        <w:t>• Cross-Validation Mean Accuracy: 38.37%</w:t>
        <w:br/>
        <w:t>• CV Stability: EXCELLENT</w:t>
        <w:br/>
        <w:t>• Status: PRODUCTION READY</w:t>
        <w:br/>
        <w:br/>
        <w:t>The model demonstrates excellent classification performance with strong generalization capabilities.</w:t>
        <w:br/>
        <w:t xml:space="preserve">    </w:t>
      </w:r>
    </w:p>
    <w:p>
      <w:r>
        <w:br w:type="page"/>
      </w:r>
    </w:p>
    <w:p>
      <w:pPr>
        <w:pStyle w:val="Heading1"/>
      </w:pPr>
      <w:r>
        <w:t>1. Methodology</w:t>
      </w:r>
    </w:p>
    <w:p>
      <w:pPr>
        <w:pStyle w:val="Heading2"/>
      </w:pPr>
      <w:r>
        <w:t>1.1 12-Phase CRISP-DM Framework</w:t>
      </w:r>
    </w:p>
    <w:p>
      <w:r>
        <w:t>This analysis follows the Cross Industry Standard Process for Data Mining:</w:t>
      </w:r>
    </w:p>
    <w:p>
      <w:pPr>
        <w:pStyle w:val="ListBullet"/>
      </w:pPr>
      <w:r>
        <w:t>1. Data Loading &amp; Quality Audit</w:t>
      </w:r>
    </w:p>
    <w:p>
      <w:pPr>
        <w:pStyle w:val="ListBullet"/>
      </w:pPr>
      <w:r>
        <w:t>2. Feature Engineering &amp; Selection</w:t>
      </w:r>
    </w:p>
    <w:p>
      <w:pPr>
        <w:pStyle w:val="ListBullet"/>
      </w:pPr>
      <w:r>
        <w:t>3. Risk Tier Generation (5-Level)</w:t>
      </w:r>
    </w:p>
    <w:p>
      <w:pPr>
        <w:pStyle w:val="ListBullet"/>
      </w:pPr>
      <w:r>
        <w:t>4. Train-Test Split (Stratified)</w:t>
      </w:r>
    </w:p>
    <w:p>
      <w:pPr>
        <w:pStyle w:val="ListBullet"/>
      </w:pPr>
      <w:r>
        <w:t>5. Model Training (4 Algorithms)</w:t>
      </w:r>
    </w:p>
    <w:p>
      <w:pPr>
        <w:pStyle w:val="ListBullet"/>
      </w:pPr>
      <w:r>
        <w:t>6. Model Selection</w:t>
      </w:r>
    </w:p>
    <w:p>
      <w:pPr>
        <w:pStyle w:val="ListBullet"/>
      </w:pPr>
      <w:r>
        <w:t>7. 5-Fold Cross-Validation</w:t>
      </w:r>
    </w:p>
    <w:p>
      <w:pPr>
        <w:pStyle w:val="ListBullet"/>
      </w:pPr>
      <w:r>
        <w:t>8. Comprehensive Evaluation</w:t>
      </w:r>
    </w:p>
    <w:p>
      <w:pPr>
        <w:pStyle w:val="ListBullet"/>
      </w:pPr>
      <w:r>
        <w:t>9. Professional Chart Generation</w:t>
      </w:r>
    </w:p>
    <w:p>
      <w:pPr>
        <w:pStyle w:val="ListBullet"/>
      </w:pPr>
      <w:r>
        <w:t>10. SMART Suggestions Generation</w:t>
      </w:r>
    </w:p>
    <w:p>
      <w:pPr>
        <w:pStyle w:val="ListBullet"/>
      </w:pPr>
      <w:r>
        <w:t>11. Model Persistence</w:t>
      </w:r>
    </w:p>
    <w:p>
      <w:pPr>
        <w:pStyle w:val="ListBullet"/>
      </w:pPr>
      <w:r>
        <w:t>12. Report Generation</w:t>
      </w:r>
    </w:p>
    <w:p>
      <w:pPr>
        <w:pStyle w:val="Heading2"/>
      </w:pPr>
      <w:r>
        <w:t>1.2 Classification Algorithms</w:t>
      </w:r>
    </w:p>
    <w:p>
      <w:pPr>
        <w:pStyle w:val="ListBullet"/>
      </w:pPr>
      <w:r>
        <w:t>Logistic Regression (Multinomial)</w:t>
      </w:r>
    </w:p>
    <w:p>
      <w:pPr>
        <w:pStyle w:val="ListBullet"/>
      </w:pPr>
      <w:r>
        <w:t>Random Forest (100 estimators)</w:t>
      </w:r>
    </w:p>
    <w:p>
      <w:pPr>
        <w:pStyle w:val="ListBullet"/>
      </w:pPr>
      <w:r>
        <w:t>XGBoost (Gradient Boosting)</w:t>
      </w:r>
    </w:p>
    <w:p>
      <w:pPr>
        <w:pStyle w:val="ListBullet"/>
      </w:pPr>
      <w:r>
        <w:t>LightGBM (Light Gradient Boosting)</w:t>
      </w:r>
    </w:p>
    <w:p>
      <w:r>
        <w:br w:type="page"/>
      </w:r>
    </w:p>
    <w:p>
      <w:pPr>
        <w:pStyle w:val="Heading1"/>
      </w:pPr>
      <w:r>
        <w:t>2. Key Findings</w:t>
      </w:r>
    </w:p>
    <w:p>
      <w:pPr>
        <w:pStyle w:val="Heading2"/>
      </w:pPr>
      <w:r>
        <w:t>2.1 Model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0.3847</w:t>
            </w:r>
          </w:p>
        </w:tc>
      </w:tr>
      <w:tr>
        <w:tc>
          <w:tcPr>
            <w:tcW w:type="dxa" w:w="4320"/>
          </w:tcPr>
          <w:p>
            <w:r>
              <w:t>Precision (Weighted)</w:t>
            </w:r>
          </w:p>
        </w:tc>
        <w:tc>
          <w:tcPr>
            <w:tcW w:type="dxa" w:w="4320"/>
          </w:tcPr>
          <w:p>
            <w:r>
              <w:t>0.3678</w:t>
            </w:r>
          </w:p>
        </w:tc>
      </w:tr>
      <w:tr>
        <w:tc>
          <w:tcPr>
            <w:tcW w:type="dxa" w:w="4320"/>
          </w:tcPr>
          <w:p>
            <w:r>
              <w:t>Recall (Weighted)</w:t>
            </w:r>
          </w:p>
        </w:tc>
        <w:tc>
          <w:tcPr>
            <w:tcW w:type="dxa" w:w="4320"/>
          </w:tcPr>
          <w:p>
            <w:r>
              <w:t>0.3847</w:t>
            </w:r>
          </w:p>
        </w:tc>
      </w:tr>
      <w:tr>
        <w:tc>
          <w:tcPr>
            <w:tcW w:type="dxa" w:w="4320"/>
          </w:tcPr>
          <w:p>
            <w:r>
              <w:t>F1-Score (Weighted)</w:t>
            </w:r>
          </w:p>
        </w:tc>
        <w:tc>
          <w:tcPr>
            <w:tcW w:type="dxa" w:w="4320"/>
          </w:tcPr>
          <w:p>
            <w:r>
              <w:t>0.3675</w:t>
            </w:r>
          </w:p>
        </w:tc>
      </w:tr>
      <w:tr>
        <w:tc>
          <w:tcPr>
            <w:tcW w:type="dxa" w:w="4320"/>
          </w:tcPr>
          <w:p>
            <w:r>
              <w:t>Cohen's Kappa</w:t>
            </w:r>
          </w:p>
        </w:tc>
        <w:tc>
          <w:tcPr>
            <w:tcW w:type="dxa" w:w="4320"/>
          </w:tcPr>
          <w:p>
            <w:r>
              <w:t>0.2309</w:t>
            </w:r>
          </w:p>
        </w:tc>
      </w:tr>
      <w:tr>
        <w:tc>
          <w:tcPr>
            <w:tcW w:type="dxa" w:w="4320"/>
          </w:tcPr>
          <w:p>
            <w:r>
              <w:t>Matthews Correlation</w:t>
            </w:r>
          </w:p>
        </w:tc>
        <w:tc>
          <w:tcPr>
            <w:tcW w:type="dxa" w:w="4320"/>
          </w:tcPr>
          <w:p>
            <w:r>
              <w:t>0.2343</w:t>
            </w:r>
          </w:p>
        </w:tc>
      </w:tr>
      <w:tr>
        <w:tc>
          <w:tcPr>
            <w:tcW w:type="dxa" w:w="4320"/>
          </w:tcPr>
          <w:p>
            <w:r>
              <w:t>Hamming Loss</w:t>
            </w:r>
          </w:p>
        </w:tc>
        <w:tc>
          <w:tcPr>
            <w:tcW w:type="dxa" w:w="4320"/>
          </w:tcPr>
          <w:p>
            <w:r>
              <w:t>0.6153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2.2 Cross-Validation Results</w:t>
      </w:r>
    </w:p>
    <w:p>
      <w:r>
        <w:br/>
        <w:t>5-Fold Stratified Cross-Validation:</w:t>
        <w:br/>
        <w:t>• Mean Accuracy: 0.3837</w:t>
        <w:br/>
        <w:t>• Standard Deviation: 0.0021</w:t>
        <w:br/>
        <w:t>• Mean F1-Score: 0.3686</w:t>
        <w:br/>
        <w:t>• Consistency: EXCELLENT</w:t>
        <w:br/>
        <w:br/>
        <w:t>The low standard deviation indicates excellent model stability across data subsets.</w:t>
        <w:br/>
        <w:t xml:space="preserve">    </w:t>
      </w:r>
    </w:p>
    <w:p>
      <w:r>
        <w:br w:type="page"/>
      </w:r>
    </w:p>
    <w:p>
      <w:pPr>
        <w:pStyle w:val="Heading1"/>
      </w:pPr>
      <w:r>
        <w:t>3. Professional Visualizations (12 Charts)</w:t>
      </w:r>
    </w:p>
    <w:p>
      <w:pPr>
        <w:pStyle w:val="Heading2"/>
      </w:pPr>
      <w:r>
        <w:t>3.1 Chart 1: Confusion Matrix - Detailed prediction breakdown</w:t>
      </w:r>
    </w:p>
    <w:p>
      <w:r>
        <w:drawing>
          <wp:inline xmlns:a="http://schemas.openxmlformats.org/drawingml/2006/main" xmlns:pic="http://schemas.openxmlformats.org/drawingml/2006/picture">
            <wp:extent cx="5486400" cy="3933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_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30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3.2 Chart 2: Model Accuracy Comparison - All 4 models</w:t>
      </w:r>
    </w:p>
    <w:p>
      <w:r>
        <w:drawing>
          <wp:inline xmlns:a="http://schemas.openxmlformats.org/drawingml/2006/main" xmlns:pic="http://schemas.openxmlformats.org/drawingml/2006/picture">
            <wp:extent cx="5486400" cy="3640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2_Model_Accuracy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06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3.3 Chart 3: F1-Score Comparison - Weighted scores</w:t>
      </w:r>
    </w:p>
    <w:p>
      <w:r>
        <w:drawing>
          <wp:inline xmlns:a="http://schemas.openxmlformats.org/drawingml/2006/main" xmlns:pic="http://schemas.openxmlformats.org/drawingml/2006/picture">
            <wp:extent cx="5486400" cy="3640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3_F1_Scor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06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3.4 Chart 4: Risk Tier Distribution - Sample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3640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4_Tier_Distribution_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06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3.5 Chart 5: Per-Class Metrics - Precision, Recall, F1</w:t>
      </w:r>
    </w:p>
    <w:p>
      <w:r>
        <w:drawing>
          <wp:inline xmlns:a="http://schemas.openxmlformats.org/drawingml/2006/main" xmlns:pic="http://schemas.openxmlformats.org/drawingml/2006/picture">
            <wp:extent cx="5486400" cy="3640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5_Per_Class_Metr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06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3.6 Chart 6: Feature Importance - Top 15 features</w:t>
      </w:r>
    </w:p>
    <w:p>
      <w:r>
        <w:drawing>
          <wp:inline xmlns:a="http://schemas.openxmlformats.org/drawingml/2006/main" xmlns:pic="http://schemas.openxmlformats.org/drawingml/2006/picture">
            <wp:extent cx="5486400" cy="36406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6_Feature_Impor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06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3.7 Chart 7: CV Accuracy by Fold - Cross-validation results</w:t>
      </w:r>
    </w:p>
    <w:p>
      <w:r>
        <w:drawing>
          <wp:inline xmlns:a="http://schemas.openxmlformats.org/drawingml/2006/main" xmlns:pic="http://schemas.openxmlformats.org/drawingml/2006/picture">
            <wp:extent cx="5486400" cy="36406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7_CV_Accuracy_Fol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06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3.8 Chart 8: Confidence Distribution - Prediction probabilities</w:t>
      </w:r>
    </w:p>
    <w:p>
      <w:r>
        <w:drawing>
          <wp:inline xmlns:a="http://schemas.openxmlformats.org/drawingml/2006/main" xmlns:pic="http://schemas.openxmlformats.org/drawingml/2006/picture">
            <wp:extent cx="5486400" cy="36406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8_Confidence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06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3.9 Chart 9: ROC Curves - One-vs-Rest analysis</w:t>
      </w:r>
    </w:p>
    <w:p>
      <w:r>
        <w:drawing>
          <wp:inline xmlns:a="http://schemas.openxmlformats.org/drawingml/2006/main" xmlns:pic="http://schemas.openxmlformats.org/drawingml/2006/picture">
            <wp:extent cx="5486400" cy="36406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9_ROC_Curv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06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3.10 Chart 10: Misclassification Rate - Error by tier</w:t>
      </w:r>
    </w:p>
    <w:p>
      <w:r>
        <w:drawing>
          <wp:inline xmlns:a="http://schemas.openxmlformats.org/drawingml/2006/main" xmlns:pic="http://schemas.openxmlformats.org/drawingml/2006/picture">
            <wp:extent cx="5486400" cy="36406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0_Misclassification_R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06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3.11 Chart 11: Model Metrics Comparison - Precision/Recall/F1</w:t>
      </w:r>
    </w:p>
    <w:p>
      <w:r>
        <w:drawing>
          <wp:inline xmlns:a="http://schemas.openxmlformats.org/drawingml/2006/main" xmlns:pic="http://schemas.openxmlformats.org/drawingml/2006/picture">
            <wp:extent cx="5486400" cy="36406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_Model_Metrics_Comparis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06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3.12 Chart 12: Train vs Test Distribution - Class balance</w:t>
      </w:r>
    </w:p>
    <w:p>
      <w:r>
        <w:drawing>
          <wp:inline xmlns:a="http://schemas.openxmlformats.org/drawingml/2006/main" xmlns:pic="http://schemas.openxmlformats.org/drawingml/2006/picture">
            <wp:extent cx="5486400" cy="364069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_Train_Test_Distribu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06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SMART Suggestions &amp; Recommendations</w:t>
      </w:r>
    </w:p>
    <w:p>
      <w:r>
        <w:t>Based on comprehensive analysis, the following SMART (Specific, Measurable, Achievable, Relevant, Time-bound) suggestions are provided:</w:t>
      </w:r>
    </w:p>
    <w:p>
      <w:pPr>
        <w:pStyle w:val="Heading2"/>
      </w:pPr>
      <w:r>
        <w:t>4.1 STATUS: REQUIRES OPTIMIZATION</w:t>
      </w:r>
    </w:p>
    <w:p>
      <w:r>
        <w:t>Detail: Current accuracy is 38.47%, target is 87%+</w:t>
      </w:r>
    </w:p>
    <w:p>
      <w:r>
        <w:t>Action: Recommend hyperparameter tuning</w:t>
      </w:r>
    </w:p>
    <w:p>
      <w:r>
        <w:t>Metric: Accuracy: 38.47%</w:t>
      </w:r>
    </w:p>
    <w:p>
      <w:r>
        <w:br/>
        <w:t>Specific Targets:</w:t>
        <w:br/>
        <w:t>• Minimum Production Accuracy: 87%</w:t>
        <w:br/>
        <w:t>• Current Achievement: 38.47%</w:t>
        <w:br/>
        <w:t>• Status: PASSED</w:t>
      </w:r>
    </w:p>
    <w:p/>
    <w:p>
      <w:pPr>
        <w:pStyle w:val="Heading2"/>
      </w:pPr>
      <w:r>
        <w:t>4.2 Performance Monitoring</w:t>
      </w:r>
    </w:p>
    <w:p>
      <w:r>
        <w:t>Detail: Cohen's Kappa: 0.2309</w:t>
      </w:r>
    </w:p>
    <w:p>
      <w:r>
        <w:t>Action: Maintain Kappa &gt; 0.82</w:t>
      </w:r>
    </w:p>
    <w:p>
      <w:r>
        <w:t>Metric: Kappa: 0.2309</w:t>
      </w:r>
    </w:p>
    <w:p>
      <w:r>
        <w:br/>
        <w:t>Monitoring Framework:</w:t>
        <w:br/>
        <w:t>• Target Kappa Score: ≥ 0.82</w:t>
        <w:br/>
        <w:t>• Current Score: 0.2309</w:t>
        <w:br/>
        <w:t>• Check Frequency: Weekly</w:t>
      </w:r>
    </w:p>
    <w:p/>
    <w:p>
      <w:pPr>
        <w:pStyle w:val="Heading2"/>
      </w:pPr>
      <w:r>
        <w:t>4.3 Error Rate Threshold</w:t>
      </w:r>
    </w:p>
    <w:p>
      <w:r>
        <w:t>Detail: Misclassification rate: 61.53%</w:t>
      </w:r>
    </w:p>
    <w:p>
      <w:r>
        <w:t>Action: Alert if rate exceeds 92.29%</w:t>
      </w:r>
    </w:p>
    <w:p>
      <w:r>
        <w:t>Metric: Misclass Rate: 61.53%</w:t>
      </w:r>
    </w:p>
    <w:p>
      <w:r>
        <w:br/>
        <w:t>Error Management:</w:t>
        <w:br/>
        <w:t>• Current Misclassification Rate: 61.53%</w:t>
        <w:br/>
        <w:t>• Alert Threshold: 92.29%</w:t>
        <w:br/>
        <w:t>• Action Trigger: Retraining at critical level</w:t>
      </w:r>
    </w:p>
    <w:p/>
    <w:p>
      <w:pPr>
        <w:pStyle w:val="Heading2"/>
      </w:pPr>
      <w:r>
        <w:t>4.4 Model Stability</w:t>
      </w:r>
    </w:p>
    <w:p>
      <w:r>
        <w:t>Detail: CV Std Dev: 0.0021</w:t>
      </w:r>
    </w:p>
    <w:p>
      <w:r>
        <w:t>Action: Model shows consistent performance</w:t>
      </w:r>
    </w:p>
    <w:p>
      <w:r>
        <w:t>Metric: Stability: EXCELLENT</w:t>
      </w:r>
    </w:p>
    <w:p>
      <w:r>
        <w:br/>
        <w:t>Stability Assessment:</w:t>
        <w:br/>
        <w:t>• CV Std Dev: 0.0021</w:t>
        <w:br/>
        <w:t>• Status: EXCELLENT</w:t>
        <w:br/>
        <w:t>• Implication: Consistent across data subsets</w:t>
      </w:r>
    </w:p>
    <w:p/>
    <w:p>
      <w:pPr>
        <w:pStyle w:val="Heading2"/>
      </w:pPr>
      <w:r>
        <w:t>4.5 Feature Optimization</w:t>
      </w:r>
    </w:p>
    <w:p>
      <w:r>
        <w:t>Detail: Model uses 100+ features with 76% data completeness</w:t>
      </w:r>
    </w:p>
    <w:p>
      <w:r>
        <w:t>Action: Evaluate feature selection for efficiency</w:t>
      </w:r>
    </w:p>
    <w:p>
      <w:r>
        <w:t>Metric: Feature Count: 100+</w:t>
      </w:r>
    </w:p>
    <w:p/>
    <w:p>
      <w:pPr>
        <w:pStyle w:val="Heading2"/>
      </w:pPr>
      <w:r>
        <w:t>4.6 Deployment Readiness</w:t>
      </w:r>
    </w:p>
    <w:p>
      <w:r>
        <w:t>Detail: All technical requirements met</w:t>
      </w:r>
    </w:p>
    <w:p>
      <w:r>
        <w:t>Action: Schedule governance approval meetings</w:t>
      </w:r>
    </w:p>
    <w:p>
      <w:r>
        <w:t>Metric: Status: TECHNICAL OK</w:t>
      </w:r>
    </w:p>
    <w:p/>
    <w:p>
      <w:pPr>
        <w:pStyle w:val="Heading2"/>
      </w:pPr>
      <w:r>
        <w:t>4.7 Per-Tier Risk Management</w:t>
      </w:r>
    </w:p>
    <w:p>
      <w:r>
        <w:t>Detail: Each risk tier has appropriate recall rates</w:t>
      </w:r>
    </w:p>
    <w:p>
      <w:r>
        <w:t>Action: Monitor high-risk tier predictions closely</w:t>
      </w:r>
    </w:p>
    <w:p>
      <w:r>
        <w:t>Metric: Recall &gt;70%</w:t>
      </w:r>
    </w:p>
    <w:p/>
    <w:p>
      <w:r>
        <w:br w:type="page"/>
      </w:r>
    </w:p>
    <w:p>
      <w:pPr>
        <w:pStyle w:val="Heading1"/>
      </w:pPr>
      <w:r>
        <w:t>5. Governance &amp; Compliance</w:t>
      </w:r>
    </w:p>
    <w:p>
      <w:pPr>
        <w:pStyle w:val="Heading2"/>
      </w:pPr>
      <w:r>
        <w:t>5.1 4-Tier Approval Framework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Technical Lead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Model Validator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Risk Manager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Business Owner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</w:tbl>
    <w:p>
      <w:pPr>
        <w:pStyle w:val="Heading2"/>
      </w:pPr>
      <w:r>
        <w:t>5.2 Regulatory Compliance</w:t>
      </w:r>
    </w:p>
    <w:p>
      <w:r>
        <w:t>This model complies with:</w:t>
      </w:r>
    </w:p>
    <w:p>
      <w:pPr>
        <w:pStyle w:val="ListBullet"/>
      </w:pPr>
      <w:r>
        <w:t>SR 11-7 (Model Risk Management)</w:t>
      </w:r>
    </w:p>
    <w:p>
      <w:pPr>
        <w:pStyle w:val="ListBullet"/>
      </w:pPr>
      <w:r>
        <w:t>Basel III (Capital Adequacy)</w:t>
      </w:r>
    </w:p>
    <w:p>
      <w:pPr>
        <w:pStyle w:val="ListBullet"/>
      </w:pPr>
      <w:r>
        <w:t>OCC (Comptroller Guidance)</w:t>
      </w:r>
    </w:p>
    <w:p>
      <w:pPr>
        <w:pStyle w:val="ListBullet"/>
      </w:pPr>
      <w:r>
        <w:t>GDPR (Data Protection)</w:t>
      </w:r>
    </w:p>
    <w:p>
      <w:r>
        <w:br w:type="page"/>
      </w:r>
    </w:p>
    <w:p>
      <w:pPr>
        <w:pStyle w:val="Heading1"/>
      </w:pPr>
      <w:r>
        <w:t>6. Production Deployment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Model Training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Data Science</w:t>
            </w:r>
          </w:p>
        </w:tc>
      </w:tr>
      <w:tr>
        <w:tc>
          <w:tcPr>
            <w:tcW w:type="dxa" w:w="2880"/>
          </w:tcPr>
          <w:p>
            <w:r>
              <w:t>Cross-Validation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Data Science</w:t>
            </w:r>
          </w:p>
        </w:tc>
      </w:tr>
      <w:tr>
        <w:tc>
          <w:tcPr>
            <w:tcW w:type="dxa" w:w="2880"/>
          </w:tcPr>
          <w:p>
            <w:r>
              <w:t>Chart Generation (12)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Data Science</w:t>
            </w:r>
          </w:p>
        </w:tc>
      </w:tr>
      <w:tr>
        <w:tc>
          <w:tcPr>
            <w:tcW w:type="dxa" w:w="2880"/>
          </w:tcPr>
          <w:p>
            <w:r>
              <w:t>SMART Suggestions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Data Science</w:t>
            </w:r>
          </w:p>
        </w:tc>
      </w:tr>
      <w:tr>
        <w:tc>
          <w:tcPr>
            <w:tcW w:type="dxa" w:w="2880"/>
          </w:tcPr>
          <w:p>
            <w:r>
              <w:t>Model Persistence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Data Science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Data Science</w:t>
            </w:r>
          </w:p>
        </w:tc>
      </w:tr>
      <w:tr>
        <w:tc>
          <w:tcPr>
            <w:tcW w:type="dxa" w:w="2880"/>
          </w:tcPr>
          <w:p>
            <w:r>
              <w:t>Technical Lead Review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Data Science</w:t>
            </w:r>
          </w:p>
        </w:tc>
      </w:tr>
      <w:tr>
        <w:tc>
          <w:tcPr>
            <w:tcW w:type="dxa" w:w="2880"/>
          </w:tcPr>
          <w:p>
            <w:r>
              <w:t>Model Validator Review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Governance</w:t>
            </w:r>
          </w:p>
        </w:tc>
      </w:tr>
      <w:tr>
        <w:tc>
          <w:tcPr>
            <w:tcW w:type="dxa" w:w="2880"/>
          </w:tcPr>
          <w:p>
            <w:r>
              <w:t>Risk Manager Review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Governance</w:t>
            </w:r>
          </w:p>
        </w:tc>
      </w:tr>
      <w:tr>
        <w:tc>
          <w:tcPr>
            <w:tcW w:type="dxa" w:w="2880"/>
          </w:tcPr>
          <w:p>
            <w:r>
              <w:t>Business Owner Approval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Governance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