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3864"/>
          <w:sz w:val="56"/>
          <w:szCs w:val="56"/>
        </w:rPr>
        <w:t xml:space="preserve">CUSTOMER360 NAVIGATOR</w:t>
      </w:r>
    </w:p>
    <w:p>
      <w:pPr>
        <w:spacing w:after="300"/>
        <w:jc w:val="center"/>
      </w:pPr>
      <w:r>
        <w:rPr>
          <w:color w:val="0E7C7B"/>
          <w:sz w:val="26"/>
          <w:szCs w:val="26"/>
        </w:rPr>
        <w:t xml:space="preserve">Enterprise AI-Driven Customer Experience, Complaint Resolution &amp; Financial Intelligence Platform</w:t>
      </w:r>
    </w:p>
    <w:p>
      <w:pPr>
        <w:spacing w:after="120"/>
        <w:jc w:val="center"/>
      </w:pPr>
      <w:r>
        <w:rPr>
          <w:b/>
          <w:bCs/>
          <w:sz w:val="30"/>
          <w:szCs w:val="30"/>
        </w:rPr>
        <w:t xml:space="preserve">MASTER EXECUTION PLAN — VERSION 2.0</w:t>
      </w:r>
    </w:p>
    <w:p>
      <w:pPr>
        <w:spacing w:after="500"/>
        <w:jc w:val="center"/>
      </w:pPr>
      <w:r>
        <w:rPr>
          <w:i/>
          <w:iCs/>
          <w:sz w:val="20"/>
          <w:szCs w:val="20"/>
        </w:rPr>
        <w:t xml:space="preserve">Hardened, Compliance-Mapped &amp; Hardware-Optimized Edition — supersedes Customer360_Navigator_Mega_Project_Master_Plan.docx (draft v1.0) on every conflicting point</w:t>
      </w:r>
    </w:p>
    <w:p>
      <w:pPr>
        <w:spacing w:after="80"/>
        <w:jc w:val="center"/>
      </w:pPr>
      <w:r>
        <w:rPr>
          <w:sz w:val="20"/>
          <w:szCs w:val="20"/>
        </w:rPr>
        <w:t xml:space="preserve">Independent Professional Portfolio Project — Not affiliated with Capital One or any financial institution</w:t>
      </w:r>
    </w:p>
    <w:p>
      <w:pPr>
        <w:spacing w:after="80"/>
        <w:jc w:val="center"/>
      </w:pPr>
      <w:r>
        <w:rPr>
          <w:sz w:val="20"/>
          <w:szCs w:val="20"/>
        </w:rPr>
        <w:t xml:space="preserve">Prepared for: Nandagopal  |  Date: September 21, 2026</w:t>
      </w:r>
    </w:p>
    <w:p>
      <w:pPr>
        <w:spacing w:after="80"/>
        <w:jc w:val="center"/>
      </w:pPr>
      <w:r>
        <w:rPr>
          <w:sz w:val="20"/>
          <w:szCs w:val="20"/>
        </w:rPr>
        <w:t xml:space="preserve">Target Hardware: Dell — AMD Ryzen AI 7 350, 8C/16T @ up to 5.0 GHz, 32 GB DDR5-7500 RAM, Windows 11</w:t>
      </w:r>
    </w:p>
    <w:p>
      <w:pPr>
        <w:spacing w:after="40"/>
        <w:jc w:val="center"/>
      </w:pPr>
      <w:r>
        <w:rPr>
          <w:color w:val="666666"/>
          <w:sz w:val="18"/>
          <w:szCs w:val="18"/>
        </w:rPr>
        <w:t xml:space="preserve">Methodology lineage: AMEX RiskIQ Enterprise Credit Risk Platform → Home Credit RiskIQ 5-Mega-Project Suite → Customer360 Navigator (this plan)</w:t>
      </w:r>
    </w:p>
    <w:p>
      <w:r>
        <w:br w:type="page"/>
      </w:r>
    </w:p>
    <w:p>
      <w:pPr>
        <w:pStyle w:val="Heading1"/>
        <w:spacing w:after="160" w:before="360"/>
      </w:pPr>
      <w:r>
        <w:t xml:space="preserve">1. Executive Summary &amp; Mandate</w:t>
      </w:r>
    </w:p>
    <w:p>
      <w:pPr>
        <w:spacing w:after="120" w:line="276"/>
      </w:pPr>
      <w:r>
        <w:t xml:space="preserve">Customer360 Navigator is an independent portfolio platform translating financial-service complaint and banking-intent data into customer-centric analytics, product requirements, and AI-assisted resolution workflows. It demonstrates Business Analysis + Analytics + AI/GenAI + Product Decision Support at enterprise-platform grade. It is not affiliated with Capital One or any other financial institution.</w:t>
      </w:r>
    </w:p>
    <w:p>
      <w:pPr>
        <w:spacing w:after="120" w:line="276"/>
      </w:pPr>
      <w:r>
        <w:t xml:space="preserve">This version is the third build in a standing methodology lineage — AMEX RiskIQ (Kaggle AMEX Default Prediction, 14-problem platform) → Home Credit RiskIQ (5 Mega Projects / 18 problems) → Customer360 Navigator. Every standing rule below (zero-fabrication, execution-boundary, WARP, HYPER, the Evidence Ledger, the 6-Gate SOP, and the compliance framework in Section 9) is inherited from those two platforms and adapted here to a hybrid NLP + tabular workload, governed end-to-end by the SOPs a top-tier global financial institution would expect from a model-risk-bearing analytics build (Section 9).</w:t>
      </w:r>
    </w:p>
    <w:p>
      <w:pPr>
        <w:pBdr>
          <w:left w:val="single" w:color="0E7C7B" w:sz="18" w:space="8"/>
        </w:pBdr>
        <w:spacing w:after="200" w:before="100"/>
        <w:ind w:left="200"/>
      </w:pPr>
      <w:r>
        <w:rPr>
          <w:i/>
          <w:iCs/>
          <w:color w:val="1F3864"/>
        </w:rPr>
        <w:t xml:space="preserve">Non-negotiable guarantee: every insight, classification, model output and dashboard figure in this suite traces to a real, verifiable source — CFPB Consumer Complaint Database records, BANKING77 intents, or a value mathematically derived from them. No fabricated customer histories, transactions, complaint text, labels, or outcomes, anywhere in this suite, at any stage.</w:t>
      </w:r>
    </w:p>
    <w:p>
      <w:pPr>
        <w:pStyle w:val="Heading2"/>
        <w:spacing w:after="120" w:before="240"/>
      </w:pPr>
      <w:r>
        <w:t xml:space="preserve">1.1 What “Enterprise AI Platform grade” means for this build</w:t>
      </w:r>
    </w:p>
    <w:p>
      <w:pPr>
        <w:pStyle w:val="ListParagraph"/>
        <w:numPr>
          <w:ilvl w:val="0"/>
          <w:numId w:val="2"/>
        </w:numPr>
        <w:spacing w:after="80" w:line="268"/>
      </w:pPr>
      <w:r>
        <w:t xml:space="preserve">A documented Business Analysis layer (BRD/FRD/RTM) precedes any modeling — same standard as a funded enterprise initiative, not a Kaggle script.</w:t>
      </w:r>
    </w:p>
    <w:p>
      <w:pPr>
        <w:pStyle w:val="ListParagraph"/>
        <w:numPr>
          <w:ilvl w:val="0"/>
          <w:numId w:val="2"/>
        </w:numPr>
        <w:spacing w:after="80" w:line="268"/>
      </w:pPr>
      <w:r>
        <w:t xml:space="preserve">A 6-Gate governance SOP (Section 8) with a hard Definition-of-Done (Section 27) and an Evidence Ledger (Section 24) — no problem is “done” on a claim alone.</w:t>
      </w:r>
    </w:p>
    <w:p>
      <w:pPr>
        <w:pStyle w:val="ListParagraph"/>
        <w:numPr>
          <w:ilvl w:val="0"/>
          <w:numId w:val="2"/>
        </w:numPr>
        <w:spacing w:after="80" w:line="268"/>
      </w:pPr>
      <w:r>
        <w:t xml:space="preserve">A named, auditable hardware-optimization standard (WARP, Section 15) and delivery-acceleration standard (HYPER, Section 16), both already proven across two prior 18+ notebook builds.</w:t>
      </w:r>
    </w:p>
    <w:p>
      <w:pPr>
        <w:pStyle w:val="ListParagraph"/>
        <w:numPr>
          <w:ilvl w:val="0"/>
          <w:numId w:val="2"/>
        </w:numPr>
        <w:spacing w:after="80" w:line="268"/>
      </w:pPr>
      <w:r>
        <w:t xml:space="preserve">Explicit regulatory/compliance framing mapped to institutional SOPs (Section 9) and a reproducibility contract (seeds, environment file, dataset version) suitable for a compliance-reviewer audience.</w:t>
      </w:r>
    </w:p>
    <w:p>
      <w:pPr>
        <w:pStyle w:val="Heading1"/>
        <w:spacing w:after="160" w:before="360"/>
      </w:pPr>
      <w:r>
        <w:t xml:space="preserve">2. Scope &amp; Objectives</w:t>
      </w:r>
    </w:p>
    <w:p>
      <w:pPr>
        <w:pStyle w:val="ListParagraph"/>
        <w:numPr>
          <w:ilvl w:val="0"/>
          <w:numId w:val="2"/>
        </w:numPr>
        <w:spacing w:after="80" w:line="268"/>
      </w:pPr>
      <w:r>
        <w:t xml:space="preserve">Bridge business, data and product requirements into measurable analytical features.</w:t>
      </w:r>
    </w:p>
    <w:p>
      <w:pPr>
        <w:pStyle w:val="ListParagraph"/>
        <w:numPr>
          <w:ilvl w:val="0"/>
          <w:numId w:val="2"/>
        </w:numPr>
        <w:spacing w:after="80" w:line="268"/>
      </w:pPr>
      <w:r>
        <w:t xml:space="preserve">Classify customer intent and friction and identify drivers of intervention/escalation.</w:t>
      </w:r>
    </w:p>
    <w:p>
      <w:pPr>
        <w:pStyle w:val="ListParagraph"/>
        <w:numPr>
          <w:ilvl w:val="0"/>
          <w:numId w:val="2"/>
        </w:numPr>
        <w:spacing w:after="80" w:line="268"/>
      </w:pPr>
      <w:r>
        <w:t xml:space="preserve">Construct evidence-based journey views without fabricating longitudinal customer histories.</w:t>
      </w:r>
    </w:p>
    <w:p>
      <w:pPr>
        <w:pStyle w:val="ListParagraph"/>
        <w:numPr>
          <w:ilvl w:val="0"/>
          <w:numId w:val="2"/>
        </w:numPr>
        <w:spacing w:after="80" w:line="268"/>
      </w:pPr>
      <w:r>
        <w:t xml:space="preserve">Provide grounded GenAI resolution assistance with human approval.</w:t>
      </w:r>
    </w:p>
    <w:p>
      <w:pPr>
        <w:pStyle w:val="ListParagraph"/>
        <w:numPr>
          <w:ilvl w:val="0"/>
          <w:numId w:val="2"/>
        </w:numPr>
        <w:spacing w:after="80" w:line="268"/>
      </w:pPr>
      <w:r>
        <w:t xml:space="preserve">Deliver an executive/product Power BI decision layer.</w:t>
      </w:r>
    </w:p>
    <w:p>
      <w:pPr>
        <w:pStyle w:val="ListParagraph"/>
        <w:numPr>
          <w:ilvl w:val="0"/>
          <w:numId w:val="2"/>
        </w:numPr>
        <w:spacing w:after="80" w:line="268"/>
      </w:pPr>
      <w:r>
        <w:t xml:space="preserve">(New) Execute the entire pipeline at ultra-fast, laptop-safe wall-clock time on the target hardware, benchmarked and reported — not assumed.</w:t>
      </w:r>
    </w:p>
    <w:p>
      <w:pPr>
        <w:pStyle w:val="ListParagraph"/>
        <w:numPr>
          <w:ilvl w:val="0"/>
          <w:numId w:val="2"/>
        </w:numPr>
        <w:spacing w:after="80" w:line="268"/>
      </w:pPr>
      <w:r>
        <w:t xml:space="preserve">(New) Operate every stage — start to end — under the institutional SOPs named in Section 9, not just at final sign-off.</w:t>
      </w:r>
    </w:p>
    <w:p>
      <w:pPr>
        <w:pStyle w:val="Heading1"/>
        <w:spacing w:after="160" w:before="360"/>
      </w:pPr>
      <w:r>
        <w:t xml:space="preserve">3. Lessons Applied — AMEX &amp; Home Credit RiskIQ Gap Register</w:t>
      </w:r>
    </w:p>
    <w:p>
      <w:pPr>
        <w:spacing w:after="120" w:line="276"/>
      </w:pPr>
      <w:r>
        <w:t xml:space="preserve">Eight real gaps surfaced across the two prior platform builds. Each is named plainly and closed with a standing refinement, applied to Customer360 from Sprint 1 rather than retrofitted later.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4600"/>
      </w:tblGrid>
      <w:tr>
        <w:trPr>
          <w:tblHeader/>
        </w:trPr>
        <w:tc>
          <w:tcPr>
            <w:tcW w:type="dxa" w:w="500"/>
            <w:shd w:fill="1F3864" w:val="clear"/>
            <w:tcMar>
              <w:top w:type="dxa" w:w="60"/>
              <w:left w:type="dxa" w:w="100"/>
              <w:bottom w:type="dxa" w:w="60"/>
              <w:right w:type="dxa" w:w="100"/>
            </w:tcMar>
            <w:vAlign w:val="center"/>
          </w:tcPr>
          <w:p>
            <w:r>
              <w:rPr>
                <w:b/>
                <w:bCs/>
                <w:color w:val="FFFFFF"/>
                <w:sz w:val="19"/>
                <w:szCs w:val="19"/>
              </w:rPr>
              <w:t xml:space="preserve">#</w:t>
            </w:r>
          </w:p>
        </w:tc>
        <w:tc>
          <w:tcPr>
            <w:tcW w:type="dxa" w:w="4900"/>
            <w:shd w:fill="1F3864" w:val="clear"/>
            <w:tcMar>
              <w:top w:type="dxa" w:w="60"/>
              <w:left w:type="dxa" w:w="100"/>
              <w:bottom w:type="dxa" w:w="60"/>
              <w:right w:type="dxa" w:w="100"/>
            </w:tcMar>
            <w:vAlign w:val="center"/>
          </w:tcPr>
          <w:p>
            <w:r>
              <w:rPr>
                <w:b/>
                <w:bCs/>
                <w:color w:val="FFFFFF"/>
                <w:sz w:val="19"/>
                <w:szCs w:val="19"/>
              </w:rPr>
              <w:t xml:space="preserve">What happened on AMEX / Home Credit</w:t>
            </w:r>
          </w:p>
        </w:tc>
        <w:tc>
          <w:tcPr>
            <w:tcW w:type="dxa" w:w="4600"/>
            <w:shd w:fill="1F3864" w:val="clear"/>
            <w:tcMar>
              <w:top w:type="dxa" w:w="60"/>
              <w:left w:type="dxa" w:w="100"/>
              <w:bottom w:type="dxa" w:w="60"/>
              <w:right w:type="dxa" w:w="100"/>
            </w:tcMar>
            <w:vAlign w:val="center"/>
          </w:tcPr>
          <w:p>
            <w:r>
              <w:rPr>
                <w:b/>
                <w:bCs/>
                <w:color w:val="FFFFFF"/>
                <w:sz w:val="19"/>
                <w:szCs w:val="19"/>
              </w:rPr>
              <w:t xml:space="preserve">Refinement applied to Customer360 from Day 1</w:t>
            </w:r>
          </w:p>
        </w:tc>
      </w:tr>
      <w:tr>
        <w:tc>
          <w:tcPr>
            <w:tcW w:type="dxa" w:w="500"/>
            <w:tcMar>
              <w:top w:type="dxa" w:w="60"/>
              <w:left w:type="dxa" w:w="100"/>
              <w:bottom w:type="dxa" w:w="60"/>
              <w:right w:type="dxa" w:w="100"/>
            </w:tcMar>
            <w:vAlign w:val="center"/>
          </w:tcPr>
          <w:p>
            <w:r>
              <w:rPr>
                <w:b w:val="false"/>
                <w:bCs w:val="false"/>
                <w:color w:val="000000"/>
                <w:sz w:val="19"/>
                <w:szCs w:val="19"/>
              </w:rPr>
              <w:t xml:space="preserve">1</w:t>
            </w:r>
          </w:p>
        </w:tc>
        <w:tc>
          <w:tcPr>
            <w:tcW w:type="dxa" w:w="4900"/>
            <w:tcMar>
              <w:top w:type="dxa" w:w="60"/>
              <w:left w:type="dxa" w:w="100"/>
              <w:bottom w:type="dxa" w:w="60"/>
              <w:right w:type="dxa" w:w="100"/>
            </w:tcMar>
            <w:vAlign w:val="center"/>
          </w:tcPr>
          <w:p>
            <w:r>
              <w:rPr>
                <w:b w:val="false"/>
                <w:bCs w:val="false"/>
                <w:color w:val="000000"/>
                <w:sz w:val="19"/>
                <w:szCs w:val="19"/>
              </w:rPr>
              <w:t xml:space="preserve">Real-data-scale bugs (categorical dtype, NaN handling, encoding mismatches) surfaced only after the user's own real run, even though fixture testing passed.</w:t>
            </w:r>
          </w:p>
        </w:tc>
        <w:tc>
          <w:tcPr>
            <w:tcW w:type="dxa" w:w="4600"/>
            <w:tcMar>
              <w:top w:type="dxa" w:w="60"/>
              <w:left w:type="dxa" w:w="100"/>
              <w:bottom w:type="dxa" w:w="60"/>
              <w:right w:type="dxa" w:w="100"/>
            </w:tcMar>
            <w:vAlign w:val="center"/>
          </w:tcPr>
          <w:p>
            <w:r>
              <w:rPr>
                <w:b w:val="false"/>
                <w:bCs w:val="false"/>
                <w:color w:val="000000"/>
                <w:sz w:val="19"/>
                <w:szCs w:val="19"/>
              </w:rPr>
              <w:t xml:space="preserve">Two-checkpoint verification is mandatory for every BP notebook: (a) a real, schema-matched synthetic-fixture execution — not a syntax check, and (b) a real run on your own machine with results reported back. Neither alone marks a BP complete.</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2</w:t>
            </w:r>
          </w:p>
        </w:tc>
        <w:tc>
          <w:tcPr>
            <w:tcW w:type="dxa" w:w="4900"/>
            <w:shd w:fill="F2F2F2" w:val="clear"/>
            <w:tcMar>
              <w:top w:type="dxa" w:w="60"/>
              <w:left w:type="dxa" w:w="100"/>
              <w:bottom w:type="dxa" w:w="60"/>
              <w:right w:type="dxa" w:w="100"/>
            </w:tcMar>
            <w:vAlign w:val="center"/>
          </w:tcPr>
          <w:p>
            <w:r>
              <w:rPr>
                <w:b w:val="false"/>
                <w:bCs w:val="false"/>
                <w:color w:val="000000"/>
                <w:sz w:val="19"/>
                <w:szCs w:val="19"/>
              </w:rPr>
              <w:t xml:space="preserve">Portfolio status was tracked partly via a self-invented “score out of 100” with no external benchmark.</w:t>
            </w:r>
          </w:p>
        </w:tc>
        <w:tc>
          <w:tcPr>
            <w:tcW w:type="dxa" w:w="4600"/>
            <w:shd w:fill="F2F2F2" w:val="clear"/>
            <w:tcMar>
              <w:top w:type="dxa" w:w="60"/>
              <w:left w:type="dxa" w:w="100"/>
              <w:bottom w:type="dxa" w:w="60"/>
              <w:right w:type="dxa" w:w="100"/>
            </w:tcMar>
            <w:vAlign w:val="center"/>
          </w:tcPr>
          <w:p>
            <w:r>
              <w:rPr>
                <w:b w:val="false"/>
                <w:bCs w:val="false"/>
                <w:color w:val="000000"/>
                <w:sz w:val="19"/>
                <w:szCs w:val="19"/>
              </w:rPr>
              <w:t xml:space="preserve">No self-invented scoring rubrics anywhere in this suite. Every reported number is either a named, formula-defined metric (F1, ROC-AUC, PR-AUC, Cramer's V, etc.) computed from real data, or an explicitly labeled ASSUMPTION with a source.</w:t>
            </w:r>
          </w:p>
        </w:tc>
      </w:tr>
      <w:tr>
        <w:tc>
          <w:tcPr>
            <w:tcW w:type="dxa" w:w="500"/>
            <w:tcMar>
              <w:top w:type="dxa" w:w="60"/>
              <w:left w:type="dxa" w:w="100"/>
              <w:bottom w:type="dxa" w:w="60"/>
              <w:right w:type="dxa" w:w="100"/>
            </w:tcMar>
            <w:vAlign w:val="center"/>
          </w:tcPr>
          <w:p>
            <w:r>
              <w:rPr>
                <w:b w:val="false"/>
                <w:bCs w:val="false"/>
                <w:color w:val="000000"/>
                <w:sz w:val="19"/>
                <w:szCs w:val="19"/>
              </w:rPr>
              <w:t xml:space="preserve">3</w:t>
            </w:r>
          </w:p>
        </w:tc>
        <w:tc>
          <w:tcPr>
            <w:tcW w:type="dxa" w:w="4900"/>
            <w:tcMar>
              <w:top w:type="dxa" w:w="60"/>
              <w:left w:type="dxa" w:w="100"/>
              <w:bottom w:type="dxa" w:w="60"/>
              <w:right w:type="dxa" w:w="100"/>
            </w:tcMar>
            <w:vAlign w:val="center"/>
          </w:tcPr>
          <w:p>
            <w:r>
              <w:rPr>
                <w:b w:val="false"/>
                <w:bCs w:val="false"/>
                <w:color w:val="000000"/>
                <w:sz w:val="19"/>
                <w:szCs w:val="19"/>
              </w:rPr>
              <w:t xml:space="preserve">git could not run inside a device-mounted (fuseblk) folder; the cloud container's proxied network blocked GitHub repo creation/push outside an authorized set — discovered live, mid-project.</w:t>
            </w:r>
          </w:p>
        </w:tc>
        <w:tc>
          <w:tcPr>
            <w:tcW w:type="dxa" w:w="4600"/>
            <w:tcMar>
              <w:top w:type="dxa" w:w="60"/>
              <w:left w:type="dxa" w:w="100"/>
              <w:bottom w:type="dxa" w:w="60"/>
              <w:right w:type="dxa" w:w="100"/>
            </w:tcMar>
            <w:vAlign w:val="center"/>
          </w:tcPr>
          <w:p>
            <w:r>
              <w:rPr>
                <w:b w:val="false"/>
                <w:bCs w:val="false"/>
                <w:color w:val="000000"/>
                <w:sz w:val="19"/>
                <w:szCs w:val="19"/>
              </w:rPr>
              <w:t xml:space="preserve">Standing GitHub workflow documented up front (Section 22): commit inside the cloud container's own filesystem, create the repo and push from the device's own local disk using a PAT verified to carry the ‘repo’ scope.</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4</w:t>
            </w:r>
          </w:p>
        </w:tc>
        <w:tc>
          <w:tcPr>
            <w:tcW w:type="dxa" w:w="4900"/>
            <w:shd w:fill="F2F2F2" w:val="clear"/>
            <w:tcMar>
              <w:top w:type="dxa" w:w="60"/>
              <w:left w:type="dxa" w:w="100"/>
              <w:bottom w:type="dxa" w:w="60"/>
              <w:right w:type="dxa" w:w="100"/>
            </w:tcMar>
            <w:vAlign w:val="center"/>
          </w:tcPr>
          <w:p>
            <w:r>
              <w:rPr>
                <w:b w:val="false"/>
                <w:bCs w:val="false"/>
                <w:color w:val="000000"/>
                <w:sz w:val="19"/>
                <w:szCs w:val="19"/>
              </w:rPr>
              <w:t xml:space="preserve">A “hypersonic 10-day / 16-hours-a-day” acceleration plan was floated before its own risk section (sleep debt, burnout by day 6–9) was weighed against a steadier pace.</w:t>
            </w:r>
          </w:p>
        </w:tc>
        <w:tc>
          <w:tcPr>
            <w:tcW w:type="dxa" w:w="4600"/>
            <w:shd w:fill="F2F2F2" w:val="clear"/>
            <w:tcMar>
              <w:top w:type="dxa" w:w="60"/>
              <w:left w:type="dxa" w:w="100"/>
              <w:bottom w:type="dxa" w:w="60"/>
              <w:right w:type="dxa" w:w="100"/>
            </w:tcMar>
            <w:vAlign w:val="center"/>
          </w:tcPr>
          <w:p>
            <w:r>
              <w:rPr>
                <w:b w:val="false"/>
                <w:bCs w:val="false"/>
                <w:color w:val="000000"/>
                <w:sz w:val="19"/>
                <w:szCs w:val="19"/>
              </w:rPr>
              <w:t xml:space="preserve">HYPER (Section 16) targets build-process speed only, never headcount-of-one work-hour compression. The 6-sprint plan (Section 23) stays the pacing model; WARP's resource caps exist partly to protect the machine and the operator.</w:t>
            </w:r>
          </w:p>
        </w:tc>
      </w:tr>
      <w:tr>
        <w:tc>
          <w:tcPr>
            <w:tcW w:type="dxa" w:w="500"/>
            <w:tcMar>
              <w:top w:type="dxa" w:w="60"/>
              <w:left w:type="dxa" w:w="100"/>
              <w:bottom w:type="dxa" w:w="60"/>
              <w:right w:type="dxa" w:w="100"/>
            </w:tcMar>
            <w:vAlign w:val="center"/>
          </w:tcPr>
          <w:p>
            <w:r>
              <w:rPr>
                <w:b w:val="false"/>
                <w:bCs w:val="false"/>
                <w:color w:val="000000"/>
                <w:sz w:val="19"/>
                <w:szCs w:val="19"/>
              </w:rPr>
              <w:t xml:space="preserve">5</w:t>
            </w:r>
          </w:p>
        </w:tc>
        <w:tc>
          <w:tcPr>
            <w:tcW w:type="dxa" w:w="4900"/>
            <w:tcMar>
              <w:top w:type="dxa" w:w="60"/>
              <w:left w:type="dxa" w:w="100"/>
              <w:bottom w:type="dxa" w:w="60"/>
              <w:right w:type="dxa" w:w="100"/>
            </w:tcMar>
            <w:vAlign w:val="center"/>
          </w:tcPr>
          <w:p>
            <w:r>
              <w:rPr>
                <w:b w:val="false"/>
                <w:bCs w:val="false"/>
                <w:color w:val="000000"/>
                <w:sz w:val="19"/>
                <w:szCs w:val="19"/>
              </w:rPr>
              <w:t xml:space="preserve">The shared/ importable component library was built as a retrofit “hardening pass” after early notebooks already had inline duplicated logic.</w:t>
            </w:r>
          </w:p>
        </w:tc>
        <w:tc>
          <w:tcPr>
            <w:tcW w:type="dxa" w:w="4600"/>
            <w:tcMar>
              <w:top w:type="dxa" w:w="60"/>
              <w:left w:type="dxa" w:w="100"/>
              <w:bottom w:type="dxa" w:w="60"/>
              <w:right w:type="dxa" w:w="100"/>
            </w:tcMar>
            <w:vAlign w:val="center"/>
          </w:tcPr>
          <w:p>
            <w:r>
              <w:rPr>
                <w:b w:val="false"/>
                <w:bCs w:val="false"/>
                <w:color w:val="000000"/>
                <w:sz w:val="19"/>
                <w:szCs w:val="19"/>
              </w:rPr>
              <w:t xml:space="preserve">src/{taxonomy,features,models,reporting,utils}/ is scaffolded in Sprint 1, Day 1 (Section 18). Every BP notebook imports from it starting with BP1 — nothing is inlined first and refactored later.</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6</w:t>
            </w:r>
          </w:p>
        </w:tc>
        <w:tc>
          <w:tcPr>
            <w:tcW w:type="dxa" w:w="4900"/>
            <w:shd w:fill="F2F2F2" w:val="clear"/>
            <w:tcMar>
              <w:top w:type="dxa" w:w="60"/>
              <w:left w:type="dxa" w:w="100"/>
              <w:bottom w:type="dxa" w:w="60"/>
              <w:right w:type="dxa" w:w="100"/>
            </w:tcMar>
            <w:vAlign w:val="center"/>
          </w:tcPr>
          <w:p>
            <w:r>
              <w:rPr>
                <w:b w:val="false"/>
                <w:bCs w:val="false"/>
                <w:color w:val="000000"/>
                <w:sz w:val="19"/>
                <w:szCs w:val="19"/>
              </w:rPr>
              <w:t xml:space="preserve">A “X/X projects complete, deployment-ready” portfolio claim surfaced with no per-notebook artifact trail behind it.</w:t>
            </w:r>
          </w:p>
        </w:tc>
        <w:tc>
          <w:tcPr>
            <w:tcW w:type="dxa" w:w="4600"/>
            <w:shd w:fill="F2F2F2" w:val="clear"/>
            <w:tcMar>
              <w:top w:type="dxa" w:w="60"/>
              <w:left w:type="dxa" w:w="100"/>
              <w:bottom w:type="dxa" w:w="60"/>
              <w:right w:type="dxa" w:w="100"/>
            </w:tcMar>
            <w:vAlign w:val="center"/>
          </w:tcPr>
          <w:p>
            <w:r>
              <w:rPr>
                <w:b w:val="false"/>
                <w:bCs w:val="false"/>
                <w:color w:val="000000"/>
                <w:sz w:val="19"/>
                <w:szCs w:val="19"/>
              </w:rPr>
              <w:t xml:space="preserve">A BP is marked complete only with a real Evidence Ledger row (Section 24): real-run confirmation, integrity-check results, and an artifact/commit reference. No ledger row, no “complete” claim — in this document, a README, or a conversation.</w:t>
            </w:r>
          </w:p>
        </w:tc>
      </w:tr>
      <w:tr>
        <w:tc>
          <w:tcPr>
            <w:tcW w:type="dxa" w:w="500"/>
            <w:tcMar>
              <w:top w:type="dxa" w:w="60"/>
              <w:left w:type="dxa" w:w="100"/>
              <w:bottom w:type="dxa" w:w="60"/>
              <w:right w:type="dxa" w:w="100"/>
            </w:tcMar>
            <w:vAlign w:val="center"/>
          </w:tcPr>
          <w:p>
            <w:r>
              <w:rPr>
                <w:b w:val="false"/>
                <w:bCs w:val="false"/>
                <w:color w:val="000000"/>
                <w:sz w:val="19"/>
                <w:szCs w:val="19"/>
              </w:rPr>
              <w:t xml:space="preserve">7</w:t>
            </w:r>
          </w:p>
        </w:tc>
        <w:tc>
          <w:tcPr>
            <w:tcW w:type="dxa" w:w="4900"/>
            <w:tcMar>
              <w:top w:type="dxa" w:w="60"/>
              <w:left w:type="dxa" w:w="100"/>
              <w:bottom w:type="dxa" w:w="60"/>
              <w:right w:type="dxa" w:w="100"/>
            </w:tcMar>
            <w:vAlign w:val="center"/>
          </w:tcPr>
          <w:p>
            <w:r>
              <w:rPr>
                <w:b w:val="false"/>
                <w:bCs w:val="false"/>
                <w:color w:val="000000"/>
                <w:sz w:val="19"/>
                <w:szCs w:val="19"/>
              </w:rPr>
              <w:t xml:space="preserve">Multiple planning documents circulated in parallel with different timeframes, requiring a mid-project consolidation pass.</w:t>
            </w:r>
          </w:p>
        </w:tc>
        <w:tc>
          <w:tcPr>
            <w:tcW w:type="dxa" w:w="4600"/>
            <w:tcMar>
              <w:top w:type="dxa" w:w="60"/>
              <w:left w:type="dxa" w:w="100"/>
              <w:bottom w:type="dxa" w:w="60"/>
              <w:right w:type="dxa" w:w="100"/>
            </w:tcMar>
            <w:vAlign w:val="center"/>
          </w:tcPr>
          <w:p>
            <w:r>
              <w:rPr>
                <w:b w:val="false"/>
                <w:bCs w:val="false"/>
                <w:color w:val="000000"/>
                <w:sz w:val="19"/>
                <w:szCs w:val="19"/>
              </w:rPr>
              <w:t xml:space="preserve">This document is the ONLY master plan for Customer360 Navigator. It explicitly supersedes the uploaded draft (Customer360_Navigator_Mega_Project_Master_Plan.docx) on every point where the two conflict.</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8</w:t>
            </w:r>
          </w:p>
        </w:tc>
        <w:tc>
          <w:tcPr>
            <w:tcW w:type="dxa" w:w="4900"/>
            <w:shd w:fill="F2F2F2" w:val="clear"/>
            <w:tcMar>
              <w:top w:type="dxa" w:w="60"/>
              <w:left w:type="dxa" w:w="100"/>
              <w:bottom w:type="dxa" w:w="60"/>
              <w:right w:type="dxa" w:w="100"/>
            </w:tcMar>
            <w:vAlign w:val="center"/>
          </w:tcPr>
          <w:p>
            <w:r>
              <w:rPr>
                <w:b w:val="false"/>
                <w:bCs w:val="false"/>
                <w:color w:val="000000"/>
                <w:sz w:val="19"/>
                <w:szCs w:val="19"/>
              </w:rPr>
              <w:t xml:space="preserve">(Inherited standing rule, restated for completeness) Claude must never execute the real data-processing pipeline itself, on either prior platform.</w:t>
            </w:r>
          </w:p>
        </w:tc>
        <w:tc>
          <w:tcPr>
            <w:tcW w:type="dxa" w:w="4600"/>
            <w:shd w:fill="F2F2F2" w:val="clear"/>
            <w:tcMar>
              <w:top w:type="dxa" w:w="60"/>
              <w:left w:type="dxa" w:w="100"/>
              <w:bottom w:type="dxa" w:w="60"/>
              <w:right w:type="dxa" w:w="100"/>
            </w:tcMar>
            <w:vAlign w:val="center"/>
          </w:tcPr>
          <w:p>
            <w:r>
              <w:rPr>
                <w:b w:val="false"/>
                <w:bCs w:val="false"/>
                <w:color w:val="000000"/>
                <w:sz w:val="19"/>
                <w:szCs w:val="19"/>
              </w:rPr>
              <w:t xml:space="preserve">Same rule here: Claude generates BP notebooks and src/ modules only. You run the real pipeline on your own machine. Every real number, chart, and verdict in this suite comes from your own reported run.</w:t>
            </w:r>
          </w:p>
        </w:tc>
      </w:tr>
    </w:tbl>
    <w:p>
      <w:pPr>
        <w:pStyle w:val="Heading1"/>
        <w:spacing w:after="160" w:before="360"/>
      </w:pPr>
      <w:r>
        <w:t xml:space="preserve">4. Data Strategy &amp; Source of Truth</w:t>
      </w:r>
    </w:p>
    <w:p>
      <w:pPr>
        <w:spacing w:after="120" w:line="276"/>
      </w:pPr>
      <w:r>
        <w:t xml:space="preserve">Primary: CFPB Consumer Complaint Database. Complementary: PolyAI BANKING77. Integration is taxonomy/semantic mapping, not a blind row-level join.</w:t>
      </w:r>
    </w:p>
    <w:p>
      <w:pPr>
        <w:pStyle w:val="ListParagraph"/>
        <w:numPr>
          <w:ilvl w:val="0"/>
          <w:numId w:val="2"/>
        </w:numPr>
        <w:spacing w:after="80" w:line="268"/>
      </w:pPr>
      <w:r>
        <w:t xml:space="preserve">CFPB complaint data is not a statistical sample of all consumer experiences — state this limitation wherever population-level claims could be inferred.</w:t>
      </w:r>
    </w:p>
    <w:p>
      <w:pPr>
        <w:pStyle w:val="ListParagraph"/>
        <w:numPr>
          <w:ilvl w:val="0"/>
          <w:numId w:val="2"/>
        </w:numPr>
        <w:spacing w:after="80" w:line="268"/>
      </w:pPr>
      <w:r>
        <w:t xml:space="preserve">Validate the exact CFPB release/fields before implementation; do not assume narratives exist in every current release.</w:t>
      </w:r>
    </w:p>
    <w:p>
      <w:pPr>
        <w:pStyle w:val="ListParagraph"/>
        <w:numPr>
          <w:ilvl w:val="0"/>
          <w:numId w:val="2"/>
        </w:numPr>
        <w:spacing w:after="80" w:line="268"/>
      </w:pPr>
      <w:r>
        <w:t xml:space="preserve">BANKING77 provides 77 banking intents; any narrative archive used must be explicitly versioned and treated as a complementary source, never blended as if first-party.</w:t>
      </w:r>
    </w:p>
    <w:p>
      <w:pPr>
        <w:pStyle w:val="ListParagraph"/>
        <w:numPr>
          <w:ilvl w:val="0"/>
          <w:numId w:val="2"/>
        </w:numPr>
        <w:spacing w:after="80" w:line="268"/>
      </w:pPr>
      <w:r>
        <w:t xml:space="preserve">[ASSUMPTION — verify Sprint 1] Exact CFPB extract date/row count and current narrative-availability rate are unknown until you pull the live release; see Section 28.</w:t>
      </w:r>
    </w:p>
    <w:p>
      <w:pPr>
        <w:pStyle w:val="Heading1"/>
        <w:spacing w:after="160" w:before="360"/>
      </w:pPr>
      <w:r>
        <w:t xml:space="preserve">5. The Eight Business Problems</w:t>
      </w:r>
    </w:p>
    <w:p>
      <w:pPr>
        <w:spacing w:after="120" w:line="276"/>
      </w:pPr>
      <w:r>
        <w:t xml:space="preserve">Each BP below states its objective, integration status, dataset, and expected result. Governing methodology per BP is in Section 7.</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700"/>
        <w:gridCol w:w="2000"/>
        <w:gridCol w:w="2600"/>
      </w:tblGrid>
      <w:tr>
        <w:trPr>
          <w:tblHeader/>
        </w:trPr>
        <w:tc>
          <w:tcPr>
            <w:tcW w:type="dxa" w:w="700"/>
            <w:shd w:fill="1F3864" w:val="clear"/>
            <w:tcMar>
              <w:top w:type="dxa" w:w="60"/>
              <w:left w:type="dxa" w:w="100"/>
              <w:bottom w:type="dxa" w:w="60"/>
              <w:right w:type="dxa" w:w="100"/>
            </w:tcMar>
            <w:vAlign w:val="center"/>
          </w:tcPr>
          <w:p>
            <w:r>
              <w:rPr>
                <w:b/>
                <w:bCs/>
                <w:color w:val="FFFFFF"/>
                <w:sz w:val="19"/>
                <w:szCs w:val="19"/>
              </w:rPr>
              <w:t xml:space="preserve">BP</w:t>
            </w:r>
          </w:p>
        </w:tc>
        <w:tc>
          <w:tcPr>
            <w:tcW w:type="dxa" w:w="3000"/>
            <w:shd w:fill="1F3864" w:val="clear"/>
            <w:tcMar>
              <w:top w:type="dxa" w:w="60"/>
              <w:left w:type="dxa" w:w="100"/>
              <w:bottom w:type="dxa" w:w="60"/>
              <w:right w:type="dxa" w:w="100"/>
            </w:tcMar>
            <w:vAlign w:val="center"/>
          </w:tcPr>
          <w:p>
            <w:r>
              <w:rPr>
                <w:b/>
                <w:bCs/>
                <w:color w:val="FFFFFF"/>
                <w:sz w:val="19"/>
                <w:szCs w:val="19"/>
              </w:rPr>
              <w:t xml:space="preserve">Business Problem</w:t>
            </w:r>
          </w:p>
        </w:tc>
        <w:tc>
          <w:tcPr>
            <w:tcW w:type="dxa" w:w="1700"/>
            <w:shd w:fill="1F3864" w:val="clear"/>
            <w:tcMar>
              <w:top w:type="dxa" w:w="60"/>
              <w:left w:type="dxa" w:w="100"/>
              <w:bottom w:type="dxa" w:w="60"/>
              <w:right w:type="dxa" w:w="100"/>
            </w:tcMar>
            <w:vAlign w:val="center"/>
          </w:tcPr>
          <w:p>
            <w:r>
              <w:rPr>
                <w:b/>
                <w:bCs/>
                <w:color w:val="FFFFFF"/>
                <w:sz w:val="19"/>
                <w:szCs w:val="19"/>
              </w:rPr>
              <w:t xml:space="preserve">Integrates BANKING77?</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Dataset</w:t>
            </w:r>
          </w:p>
        </w:tc>
        <w:tc>
          <w:tcPr>
            <w:tcW w:type="dxa" w:w="2600"/>
            <w:shd w:fill="1F3864" w:val="clear"/>
            <w:tcMar>
              <w:top w:type="dxa" w:w="60"/>
              <w:left w:type="dxa" w:w="100"/>
              <w:bottom w:type="dxa" w:w="60"/>
              <w:right w:type="dxa" w:w="100"/>
            </w:tcMar>
            <w:vAlign w:val="center"/>
          </w:tcPr>
          <w:p>
            <w:r>
              <w:rPr>
                <w:b/>
                <w:bCs/>
                <w:color w:val="FFFFFF"/>
                <w:sz w:val="19"/>
                <w:szCs w:val="19"/>
              </w:rPr>
              <w:t xml:space="preserve">Expected Result</w:t>
            </w:r>
          </w:p>
        </w:tc>
      </w:tr>
      <w:tr>
        <w:tc>
          <w:tcPr>
            <w:tcW w:type="dxa" w:w="700"/>
            <w:tcMar>
              <w:top w:type="dxa" w:w="60"/>
              <w:left w:type="dxa" w:w="100"/>
              <w:bottom w:type="dxa" w:w="60"/>
              <w:right w:type="dxa" w:w="100"/>
            </w:tcMar>
            <w:vAlign w:val="center"/>
          </w:tcPr>
          <w:p>
            <w:r>
              <w:rPr>
                <w:b w:val="false"/>
                <w:bCs w:val="false"/>
                <w:color w:val="000000"/>
                <w:sz w:val="19"/>
                <w:szCs w:val="19"/>
              </w:rPr>
              <w:t xml:space="preserve">BP1</w:t>
            </w:r>
          </w:p>
        </w:tc>
        <w:tc>
          <w:tcPr>
            <w:tcW w:type="dxa" w:w="3000"/>
            <w:tcMar>
              <w:top w:type="dxa" w:w="60"/>
              <w:left w:type="dxa" w:w="100"/>
              <w:bottom w:type="dxa" w:w="60"/>
              <w:right w:type="dxa" w:w="100"/>
            </w:tcMar>
            <w:vAlign w:val="center"/>
          </w:tcPr>
          <w:p>
            <w:r>
              <w:rPr>
                <w:b w:val="false"/>
                <w:bCs w:val="false"/>
                <w:color w:val="000000"/>
                <w:sz w:val="19"/>
                <w:szCs w:val="19"/>
              </w:rPr>
              <w:t xml:space="preserve">Customer Intent Classification</w:t>
            </w:r>
          </w:p>
        </w:tc>
        <w:tc>
          <w:tcPr>
            <w:tcW w:type="dxa" w:w="1700"/>
            <w:tcMar>
              <w:top w:type="dxa" w:w="60"/>
              <w:left w:type="dxa" w:w="100"/>
              <w:bottom w:type="dxa" w:w="60"/>
              <w:right w:type="dxa" w:w="100"/>
            </w:tcMar>
            <w:vAlign w:val="center"/>
          </w:tcPr>
          <w:p>
            <w:r>
              <w:rPr>
                <w:b w:val="false"/>
                <w:bCs w:val="false"/>
                <w:color w:val="000000"/>
                <w:sz w:val="19"/>
                <w:szCs w:val="19"/>
              </w:rPr>
              <w:t xml:space="preserve">YES</w:t>
            </w:r>
          </w:p>
        </w:tc>
        <w:tc>
          <w:tcPr>
            <w:tcW w:type="dxa" w:w="2000"/>
            <w:tcMar>
              <w:top w:type="dxa" w:w="60"/>
              <w:left w:type="dxa" w:w="100"/>
              <w:bottom w:type="dxa" w:w="60"/>
              <w:right w:type="dxa" w:w="100"/>
            </w:tcMar>
            <w:vAlign w:val="center"/>
          </w:tcPr>
          <w:p>
            <w:r>
              <w:rPr>
                <w:b w:val="false"/>
                <w:bCs w:val="false"/>
                <w:color w:val="000000"/>
                <w:sz w:val="19"/>
                <w:szCs w:val="19"/>
              </w:rPr>
              <w:t xml:space="preserve">CFPB + BANKING77</w:t>
            </w:r>
          </w:p>
        </w:tc>
        <w:tc>
          <w:tcPr>
            <w:tcW w:type="dxa" w:w="2600"/>
            <w:tcMar>
              <w:top w:type="dxa" w:w="60"/>
              <w:left w:type="dxa" w:w="100"/>
              <w:bottom w:type="dxa" w:w="60"/>
              <w:right w:type="dxa" w:w="100"/>
            </w:tcMar>
            <w:vAlign w:val="center"/>
          </w:tcPr>
          <w:p>
            <w:r>
              <w:rPr>
                <w:b w:val="false"/>
                <w:bCs w:val="false"/>
                <w:color w:val="000000"/>
                <w:sz w:val="19"/>
                <w:szCs w:val="19"/>
              </w:rPr>
              <w:t xml:space="preserve">Intent classification; target F1 ≥ 0.85 where supported by data</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BP2</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Customer Friction Classification</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YES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CFPB + BANKING77</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Friction classification; target F1 ≥ 0.80 where supported</w:t>
            </w:r>
          </w:p>
        </w:tc>
      </w:tr>
      <w:tr>
        <w:tc>
          <w:tcPr>
            <w:tcW w:type="dxa" w:w="700"/>
            <w:tcMar>
              <w:top w:type="dxa" w:w="60"/>
              <w:left w:type="dxa" w:w="100"/>
              <w:bottom w:type="dxa" w:w="60"/>
              <w:right w:type="dxa" w:w="100"/>
            </w:tcMar>
            <w:vAlign w:val="center"/>
          </w:tcPr>
          <w:p>
            <w:r>
              <w:rPr>
                <w:b w:val="false"/>
                <w:bCs w:val="false"/>
                <w:color w:val="000000"/>
                <w:sz w:val="19"/>
                <w:szCs w:val="19"/>
              </w:rPr>
              <w:t xml:space="preserve">BP3</w:t>
            </w:r>
          </w:p>
        </w:tc>
        <w:tc>
          <w:tcPr>
            <w:tcW w:type="dxa" w:w="3000"/>
            <w:tcMar>
              <w:top w:type="dxa" w:w="60"/>
              <w:left w:type="dxa" w:w="100"/>
              <w:bottom w:type="dxa" w:w="60"/>
              <w:right w:type="dxa" w:w="100"/>
            </w:tcMar>
            <w:vAlign w:val="center"/>
          </w:tcPr>
          <w:p>
            <w:r>
              <w:rPr>
                <w:b w:val="false"/>
                <w:bCs w:val="false"/>
                <w:color w:val="000000"/>
                <w:sz w:val="19"/>
                <w:szCs w:val="19"/>
              </w:rPr>
              <w:t xml:space="preserve">Complaint Escalation / Intervention Prediction</w:t>
            </w:r>
          </w:p>
        </w:tc>
        <w:tc>
          <w:tcPr>
            <w:tcW w:type="dxa" w:w="1700"/>
            <w:tcMar>
              <w:top w:type="dxa" w:w="60"/>
              <w:left w:type="dxa" w:w="100"/>
              <w:bottom w:type="dxa" w:w="60"/>
              <w:right w:type="dxa" w:w="100"/>
            </w:tcMar>
            <w:vAlign w:val="center"/>
          </w:tcPr>
          <w:p>
            <w:r>
              <w:rPr>
                <w:b w:val="false"/>
                <w:bCs w:val="false"/>
                <w:color w:val="000000"/>
                <w:sz w:val="19"/>
                <w:szCs w:val="19"/>
              </w:rPr>
              <w:t xml:space="preserve">NO</w:t>
            </w:r>
          </w:p>
        </w:tc>
        <w:tc>
          <w:tcPr>
            <w:tcW w:type="dxa" w:w="2000"/>
            <w:tcMar>
              <w:top w:type="dxa" w:w="60"/>
              <w:left w:type="dxa" w:w="100"/>
              <w:bottom w:type="dxa" w:w="60"/>
              <w:right w:type="dxa" w:w="100"/>
            </w:tcMar>
            <w:vAlign w:val="center"/>
          </w:tcPr>
          <w:p>
            <w:r>
              <w:rPr>
                <w:b w:val="false"/>
                <w:bCs w:val="false"/>
                <w:color w:val="000000"/>
                <w:sz w:val="19"/>
                <w:szCs w:val="19"/>
              </w:rPr>
              <w:t xml:space="preserve">CFPB</w:t>
            </w:r>
          </w:p>
        </w:tc>
        <w:tc>
          <w:tcPr>
            <w:tcW w:type="dxa" w:w="2600"/>
            <w:tcMar>
              <w:top w:type="dxa" w:w="60"/>
              <w:left w:type="dxa" w:w="100"/>
              <w:bottom w:type="dxa" w:w="60"/>
              <w:right w:type="dxa" w:w="100"/>
            </w:tcMar>
            <w:vAlign w:val="center"/>
          </w:tcPr>
          <w:p>
            <w:r>
              <w:rPr>
                <w:b w:val="false"/>
                <w:bCs w:val="false"/>
                <w:color w:val="000000"/>
                <w:sz w:val="19"/>
                <w:szCs w:val="19"/>
              </w:rPr>
              <w:t xml:space="preserve">Intervention-risk model; ROC-AUC, PR-AUC, recall, calibration</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BP4</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Customer Journey Analytics</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YES (derived)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CFPB + BANKING77</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Standardized issue/journey view; repeat-contact/bottleneck patterns only where supported</w:t>
            </w:r>
          </w:p>
        </w:tc>
      </w:tr>
      <w:tr>
        <w:tc>
          <w:tcPr>
            <w:tcW w:type="dxa" w:w="700"/>
            <w:tcMar>
              <w:top w:type="dxa" w:w="60"/>
              <w:left w:type="dxa" w:w="100"/>
              <w:bottom w:type="dxa" w:w="60"/>
              <w:right w:type="dxa" w:w="100"/>
            </w:tcMar>
            <w:vAlign w:val="center"/>
          </w:tcPr>
          <w:p>
            <w:r>
              <w:rPr>
                <w:b w:val="false"/>
                <w:bCs w:val="false"/>
                <w:color w:val="000000"/>
                <w:sz w:val="19"/>
                <w:szCs w:val="19"/>
              </w:rPr>
              <w:t xml:space="preserve">BP5</w:t>
            </w:r>
          </w:p>
        </w:tc>
        <w:tc>
          <w:tcPr>
            <w:tcW w:type="dxa" w:w="3000"/>
            <w:tcMar>
              <w:top w:type="dxa" w:w="60"/>
              <w:left w:type="dxa" w:w="100"/>
              <w:bottom w:type="dxa" w:w="60"/>
              <w:right w:type="dxa" w:w="100"/>
            </w:tcMar>
            <w:vAlign w:val="center"/>
          </w:tcPr>
          <w:p>
            <w:r>
              <w:rPr>
                <w:b w:val="false"/>
                <w:bCs w:val="false"/>
                <w:color w:val="000000"/>
                <w:sz w:val="19"/>
                <w:szCs w:val="19"/>
              </w:rPr>
              <w:t xml:space="preserve">Root-Cause &amp; Driver Analytics</w:t>
            </w:r>
          </w:p>
        </w:tc>
        <w:tc>
          <w:tcPr>
            <w:tcW w:type="dxa" w:w="1700"/>
            <w:tcMar>
              <w:top w:type="dxa" w:w="60"/>
              <w:left w:type="dxa" w:w="100"/>
              <w:bottom w:type="dxa" w:w="60"/>
              <w:right w:type="dxa" w:w="100"/>
            </w:tcMar>
            <w:vAlign w:val="center"/>
          </w:tcPr>
          <w:p>
            <w:r>
              <w:rPr>
                <w:b w:val="false"/>
                <w:bCs w:val="false"/>
                <w:color w:val="000000"/>
                <w:sz w:val="19"/>
                <w:szCs w:val="19"/>
              </w:rPr>
              <w:t xml:space="preserve">NO</w:t>
            </w:r>
          </w:p>
        </w:tc>
        <w:tc>
          <w:tcPr>
            <w:tcW w:type="dxa" w:w="2000"/>
            <w:tcMar>
              <w:top w:type="dxa" w:w="60"/>
              <w:left w:type="dxa" w:w="100"/>
              <w:bottom w:type="dxa" w:w="60"/>
              <w:right w:type="dxa" w:w="100"/>
            </w:tcMar>
            <w:vAlign w:val="center"/>
          </w:tcPr>
          <w:p>
            <w:r>
              <w:rPr>
                <w:b w:val="false"/>
                <w:bCs w:val="false"/>
                <w:color w:val="000000"/>
                <w:sz w:val="19"/>
                <w:szCs w:val="19"/>
              </w:rPr>
              <w:t xml:space="preserve">CFPB</w:t>
            </w:r>
          </w:p>
        </w:tc>
        <w:tc>
          <w:tcPr>
            <w:tcW w:type="dxa" w:w="2600"/>
            <w:tcMar>
              <w:top w:type="dxa" w:w="60"/>
              <w:left w:type="dxa" w:w="100"/>
              <w:bottom w:type="dxa" w:w="60"/>
              <w:right w:type="dxa" w:w="100"/>
            </w:tcMar>
            <w:vAlign w:val="center"/>
          </w:tcPr>
          <w:p>
            <w:r>
              <w:rPr>
                <w:b w:val="false"/>
                <w:bCs w:val="false"/>
                <w:color w:val="000000"/>
                <w:sz w:val="19"/>
                <w:szCs w:val="19"/>
              </w:rPr>
              <w:t xml:space="preserve">Statistically supported product/issue/process drivers</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BP6</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GenAI Resolution Assistant</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YES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CFPB + BANKING77</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Grounded summary, intent, evidence and recommended action</w:t>
            </w:r>
          </w:p>
        </w:tc>
      </w:tr>
      <w:tr>
        <w:tc>
          <w:tcPr>
            <w:tcW w:type="dxa" w:w="700"/>
            <w:tcMar>
              <w:top w:type="dxa" w:w="60"/>
              <w:left w:type="dxa" w:w="100"/>
              <w:bottom w:type="dxa" w:w="60"/>
              <w:right w:type="dxa" w:w="100"/>
            </w:tcMar>
            <w:vAlign w:val="center"/>
          </w:tcPr>
          <w:p>
            <w:r>
              <w:rPr>
                <w:b w:val="false"/>
                <w:bCs w:val="false"/>
                <w:color w:val="000000"/>
                <w:sz w:val="19"/>
                <w:szCs w:val="19"/>
              </w:rPr>
              <w:t xml:space="preserve">BP7</w:t>
            </w:r>
          </w:p>
        </w:tc>
        <w:tc>
          <w:tcPr>
            <w:tcW w:type="dxa" w:w="3000"/>
            <w:tcMar>
              <w:top w:type="dxa" w:w="60"/>
              <w:left w:type="dxa" w:w="100"/>
              <w:bottom w:type="dxa" w:w="60"/>
              <w:right w:type="dxa" w:w="100"/>
            </w:tcMar>
            <w:vAlign w:val="center"/>
          </w:tcPr>
          <w:p>
            <w:r>
              <w:rPr>
                <w:b w:val="false"/>
                <w:bCs w:val="false"/>
                <w:color w:val="000000"/>
                <w:sz w:val="19"/>
                <w:szCs w:val="19"/>
              </w:rPr>
              <w:t xml:space="preserve">Customer Navigator Decision Engine</w:t>
            </w:r>
          </w:p>
        </w:tc>
        <w:tc>
          <w:tcPr>
            <w:tcW w:type="dxa" w:w="1700"/>
            <w:tcMar>
              <w:top w:type="dxa" w:w="60"/>
              <w:left w:type="dxa" w:w="100"/>
              <w:bottom w:type="dxa" w:w="60"/>
              <w:right w:type="dxa" w:w="100"/>
            </w:tcMar>
            <w:vAlign w:val="center"/>
          </w:tcPr>
          <w:p>
            <w:r>
              <w:rPr>
                <w:b w:val="false"/>
                <w:bCs w:val="false"/>
                <w:color w:val="000000"/>
                <w:sz w:val="19"/>
                <w:szCs w:val="19"/>
              </w:rPr>
              <w:t xml:space="preserve">NO (new dataset)</w:t>
            </w:r>
          </w:p>
        </w:tc>
        <w:tc>
          <w:tcPr>
            <w:tcW w:type="dxa" w:w="2000"/>
            <w:tcMar>
              <w:top w:type="dxa" w:w="60"/>
              <w:left w:type="dxa" w:w="100"/>
              <w:bottom w:type="dxa" w:w="60"/>
              <w:right w:type="dxa" w:w="100"/>
            </w:tcMar>
            <w:vAlign w:val="center"/>
          </w:tcPr>
          <w:p>
            <w:r>
              <w:rPr>
                <w:b w:val="false"/>
                <w:bCs w:val="false"/>
                <w:color w:val="000000"/>
                <w:sz w:val="19"/>
                <w:szCs w:val="19"/>
              </w:rPr>
              <w:t xml:space="preserve">BP1–BP5 outputs</w:t>
            </w:r>
          </w:p>
        </w:tc>
        <w:tc>
          <w:tcPr>
            <w:tcW w:type="dxa" w:w="2600"/>
            <w:tcMar>
              <w:top w:type="dxa" w:w="60"/>
              <w:left w:type="dxa" w:w="100"/>
              <w:bottom w:type="dxa" w:w="60"/>
              <w:right w:type="dxa" w:w="100"/>
            </w:tcMar>
            <w:vAlign w:val="center"/>
          </w:tcPr>
          <w:p>
            <w:r>
              <w:rPr>
                <w:b w:val="false"/>
                <w:bCs w:val="false"/>
                <w:color w:val="000000"/>
                <w:sz w:val="19"/>
                <w:szCs w:val="19"/>
              </w:rPr>
              <w:t xml:space="preserve">Priority + intervention risk + recommended action</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BP8</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Executive/Product Analytics</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YES (consumes outputs)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Integrated analytical layer</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Power BI-ready KPIs, trends, friction, escalation and product opportunities</w:t>
            </w:r>
          </w:p>
        </w:tc>
      </w:tr>
    </w:tbl>
    <w:p>
      <w:pPr>
        <w:pStyle w:val="Heading2"/>
        <w:spacing w:after="120" w:before="240"/>
      </w:pPr>
      <w:r>
        <w:t xml:space="preserve">5.1 BP narrative detail</w:t>
      </w:r>
    </w:p>
    <w:p>
      <w:pPr>
        <w:pStyle w:val="ListParagraph"/>
        <w:numPr>
          <w:ilvl w:val="0"/>
          <w:numId w:val="2"/>
        </w:numPr>
        <w:spacing w:after="80" w:line="268"/>
      </w:pPr>
      <w:r>
        <w:rPr>
          <w:b/>
          <w:bCs/>
        </w:rPr>
        <w:t xml:space="preserve">BP1 — Customer Intent Classification: </w:t>
      </w:r>
      <w:r>
        <w:t xml:space="preserve">map BANKING77's 77-intent taxonomy to defensible CFPB issue/product categories; train and evaluate a text-intent model wherever narrative text is actually available in the pulled release. If narratives are unavailable for a slice, do not fabricate substitute text — report coverage honestly and scope the model to the covered subset.</w:t>
      </w:r>
    </w:p>
    <w:p>
      <w:pPr>
        <w:pStyle w:val="ListParagraph"/>
        <w:numPr>
          <w:ilvl w:val="0"/>
          <w:numId w:val="2"/>
        </w:numPr>
        <w:spacing w:after="80" w:line="268"/>
      </w:pPr>
      <w:r>
        <w:rPr>
          <w:b/>
          <w:bCs/>
        </w:rPr>
        <w:t xml:space="preserve">BP2 — Customer Friction Classification: </w:t>
      </w:r>
      <w:r>
        <w:t xml:space="preserve">define a documented friction taxonomy (severity, sentiment proxy, repeat-contact signal) and evaluate with F1/precision/recall and a confusion matrix. Table targets above are goals, not guaranteed outcomes.</w:t>
      </w:r>
    </w:p>
    <w:p>
      <w:pPr>
        <w:pStyle w:val="ListParagraph"/>
        <w:numPr>
          <w:ilvl w:val="0"/>
          <w:numId w:val="2"/>
        </w:numPr>
        <w:spacing w:after="80" w:line="268"/>
      </w:pPr>
      <w:r>
        <w:rPr>
          <w:b/>
          <w:bCs/>
        </w:rPr>
        <w:t xml:space="preserve">BP3 — Complaint Escalation / Intervention Prediction: </w:t>
      </w:r>
      <w:r>
        <w:t xml:space="preserve">select only a defensible observed/proxy outcome (e.g. company response = “closed with monetary relief” or a disputed flag); run leakage checks before any model sees it; report ROC-AUC, PR-AUC, recall and calibration, never a bare accuracy figure on an imbalanced target.</w:t>
      </w:r>
    </w:p>
    <w:p>
      <w:pPr>
        <w:pStyle w:val="ListParagraph"/>
        <w:numPr>
          <w:ilvl w:val="0"/>
          <w:numId w:val="2"/>
        </w:numPr>
        <w:spacing w:after="80" w:line="268"/>
      </w:pPr>
      <w:r>
        <w:rPr>
          <w:b/>
          <w:bCs/>
        </w:rPr>
        <w:t xml:space="preserve">BP4 — Customer Journey Analytics: </w:t>
      </w:r>
      <w:r>
        <w:t xml:space="preserve">do not invent customer IDs. Build standardized issue/event sequences only from actual identifiers and timestamps present in the real data; if longitudinal identity is absent, call this event/issue journey analytics explicitly — never longitudinal customer journey analytics.</w:t>
      </w:r>
    </w:p>
    <w:p>
      <w:pPr>
        <w:pStyle w:val="ListParagraph"/>
        <w:numPr>
          <w:ilvl w:val="0"/>
          <w:numId w:val="2"/>
        </w:numPr>
        <w:spacing w:after="80" w:line="268"/>
      </w:pPr>
      <w:r>
        <w:rPr>
          <w:b/>
          <w:bCs/>
        </w:rPr>
        <w:t xml:space="preserve">BP5 — Root-Cause &amp; Driver Analytics: </w:t>
      </w:r>
      <w:r>
        <w:t xml:space="preserve">hypothesis testing, regression, and explainability (SHAP) to identify associations between product/issue/process fields and outcomes; every finding labeled as association, with a reminder that association is not causation.</w:t>
      </w:r>
    </w:p>
    <w:p>
      <w:pPr>
        <w:pStyle w:val="ListParagraph"/>
        <w:numPr>
          <w:ilvl w:val="0"/>
          <w:numId w:val="2"/>
        </w:numPr>
        <w:spacing w:after="80" w:line="268"/>
      </w:pPr>
      <w:r>
        <w:rPr>
          <w:b/>
          <w:bCs/>
        </w:rPr>
        <w:t xml:space="preserve">BP6 — GenAI Resolution Assistant: </w:t>
      </w:r>
      <w:r>
        <w:t xml:space="preserve">retrieve structured evidence (from BP1–BP5 outputs), summarize and recommend a next action with citations/evidence fields on every claim; human-in-the-loop approval gate before any recommendation is treated as final.</w:t>
      </w:r>
    </w:p>
    <w:p>
      <w:pPr>
        <w:pStyle w:val="ListParagraph"/>
        <w:numPr>
          <w:ilvl w:val="0"/>
          <w:numId w:val="2"/>
        </w:numPr>
        <w:spacing w:after="80" w:line="268"/>
      </w:pPr>
      <w:r>
        <w:rPr>
          <w:b/>
          <w:bCs/>
        </w:rPr>
        <w:t xml:space="preserve">BP7 — Customer Navigator Decision Engine: </w:t>
      </w:r>
      <w:r>
        <w:t xml:space="preserve">transparent, auditable decision rules combining BP1–BP5 outputs into a priority score and intervention flag; every decision records its reason codes and thresholds — no black-box scoring.</w:t>
      </w:r>
    </w:p>
    <w:p>
      <w:pPr>
        <w:pStyle w:val="ListParagraph"/>
        <w:numPr>
          <w:ilvl w:val="0"/>
          <w:numId w:val="2"/>
        </w:numPr>
        <w:spacing w:after="80" w:line="268"/>
      </w:pPr>
      <w:r>
        <w:rPr>
          <w:b/>
          <w:bCs/>
        </w:rPr>
        <w:t xml:space="preserve">BP8 — Executive/Product Analytics: </w:t>
      </w:r>
      <w:r>
        <w:t xml:space="preserve">aggregate Gold-layer outputs from BP1–BP7 into executive/product KPIs, drill-downs, friction trends, escalation trends and product opportunity flags in the Power BI layer (Section 19).</w:t>
      </w:r>
    </w:p>
    <w:p>
      <w:pPr>
        <w:pStyle w:val="Heading1"/>
        <w:spacing w:after="160" w:before="360"/>
      </w:pPr>
      <w:r>
        <w:t xml:space="preserve">6. Integration Architecture</w:t>
      </w:r>
    </w:p>
    <w:p>
      <w:pPr>
        <w:spacing w:after="120" w:line="276"/>
      </w:pPr>
      <w:r>
        <w:t xml:space="preserve">CFPB structured complaints and BANKING77 intents feed a common taxonomy/intent layer into the Customer360 Gold table, which feeds BP1/BP2, joined with CFPB outcome fields into BP3/BP5, derived event/issue views into BP4, and all upstream BP1–BP5 outputs into BP6/BP7, with every analytical output landing in BP8's Power BI layer.</w:t>
      </w:r>
    </w:p>
    <w:p>
      <w:pPr>
        <w:spacing w:after="120" w:line="276"/>
      </w:pPr>
      <w:r>
        <w:rPr>
          <w:rFonts w:ascii="Consolas" w:cs="Consolas" w:eastAsia="Consolas" w:hAnsi="Consolas"/>
          <w:sz w:val="18"/>
          <w:szCs w:val="18"/>
        </w:rPr>
        <w:t xml:space="preserve">CFPB Structured Complaints —┐</w:t>
      </w:r>
    </w:p>
    <w:p>
      <w:pPr>
        <w:spacing w:after="120" w:line="276"/>
      </w:pPr>
      <w:r>
        <w:rPr>
          <w:rFonts w:ascii="Consolas" w:cs="Consolas" w:eastAsia="Consolas" w:hAnsi="Consolas"/>
          <w:sz w:val="18"/>
          <w:szCs w:val="18"/>
        </w:rPr>
        <w:t xml:space="preserve">                         ├► Common Taxonomy / Intent Layer ► Customer360 Gold</w:t>
      </w:r>
    </w:p>
    <w:p>
      <w:pPr>
        <w:spacing w:after="120" w:line="276"/>
      </w:pPr>
      <w:r>
        <w:rPr>
          <w:rFonts w:ascii="Consolas" w:cs="Consolas" w:eastAsia="Consolas" w:hAnsi="Consolas"/>
          <w:sz w:val="18"/>
          <w:szCs w:val="18"/>
        </w:rPr>
        <w:t xml:space="preserve">BANKING77 Intents ─────────┘                    │</w:t>
      </w:r>
    </w:p>
    <w:p>
      <w:pPr>
        <w:spacing w:after="120" w:line="276"/>
      </w:pPr>
      <w:r>
        <w:rPr>
          <w:rFonts w:ascii="Consolas" w:cs="Consolas" w:eastAsia="Consolas" w:hAnsi="Consolas"/>
          <w:sz w:val="18"/>
          <w:szCs w:val="18"/>
        </w:rPr>
        <w:t xml:space="preserve">                                                 ├► BP1/BP2 NLP &amp; classification</w:t>
      </w:r>
    </w:p>
    <w:p>
      <w:pPr>
        <w:spacing w:after="120" w:line="276"/>
      </w:pPr>
      <w:r>
        <w:rPr>
          <w:rFonts w:ascii="Consolas" w:cs="Consolas" w:eastAsia="Consolas" w:hAnsi="Consolas"/>
          <w:sz w:val="18"/>
          <w:szCs w:val="18"/>
        </w:rPr>
        <w:t xml:space="preserve">CFPB outcome fields ───────────────────────┼► BP3/BP5</w:t>
      </w:r>
    </w:p>
    <w:p>
      <w:pPr>
        <w:spacing w:after="120" w:line="276"/>
      </w:pPr>
      <w:r>
        <w:rPr>
          <w:rFonts w:ascii="Consolas" w:cs="Consolas" w:eastAsia="Consolas" w:hAnsi="Consolas"/>
          <w:sz w:val="18"/>
          <w:szCs w:val="18"/>
        </w:rPr>
        <w:t xml:space="preserve">Derived event/issue views ─────────────────┼► BP4</w:t>
      </w:r>
    </w:p>
    <w:p>
      <w:pPr>
        <w:spacing w:after="120" w:line="276"/>
      </w:pPr>
      <w:r>
        <w:rPr>
          <w:rFonts w:ascii="Consolas" w:cs="Consolas" w:eastAsia="Consolas" w:hAnsi="Consolas"/>
          <w:sz w:val="18"/>
          <w:szCs w:val="18"/>
        </w:rPr>
        <w:t xml:space="preserve">BP1–BP5 outputs ───────────────────────────┼► BP6/BP7</w:t>
      </w:r>
    </w:p>
    <w:p>
      <w:pPr>
        <w:spacing w:after="120" w:line="276"/>
      </w:pPr>
      <w:r>
        <w:rPr>
          <w:rFonts w:ascii="Consolas" w:cs="Consolas" w:eastAsia="Consolas" w:hAnsi="Consolas"/>
          <w:sz w:val="18"/>
          <w:szCs w:val="18"/>
        </w:rPr>
        <w:t xml:space="preserve">All analytical outputs ────────────────────────────────┴► BP8 Power BI</w:t>
      </w:r>
    </w:p>
    <w:p>
      <w:pPr>
        <w:pStyle w:val="Heading1"/>
        <w:spacing w:after="160" w:before="360"/>
      </w:pPr>
      <w:r>
        <w:t xml:space="preserve">7. BP Methodology (governing rules)</w:t>
      </w:r>
    </w:p>
    <w:p>
      <w:pPr>
        <w:pStyle w:val="ListParagraph"/>
        <w:numPr>
          <w:ilvl w:val="0"/>
          <w:numId w:val="2"/>
        </w:numPr>
        <w:spacing w:after="80" w:line="268"/>
      </w:pPr>
      <w:r>
        <w:t xml:space="preserve">BP1: map BANKING77 intent taxonomy to defensible CFPB issue/product categories; train/evaluate text intent models where text is available. If CFPB narratives are unavailable, do not fabricate text.</w:t>
      </w:r>
    </w:p>
    <w:p>
      <w:pPr>
        <w:pStyle w:val="ListParagraph"/>
        <w:numPr>
          <w:ilvl w:val="0"/>
          <w:numId w:val="2"/>
        </w:numPr>
        <w:spacing w:after="80" w:line="268"/>
      </w:pPr>
      <w:r>
        <w:t xml:space="preserve">BP2: define a documented friction taxonomy; evaluate classification with F1/precision/recall and confusion matrix. Targets are goals, not guaranteed outcomes.</w:t>
      </w:r>
    </w:p>
    <w:p>
      <w:pPr>
        <w:pStyle w:val="ListParagraph"/>
        <w:numPr>
          <w:ilvl w:val="0"/>
          <w:numId w:val="2"/>
        </w:numPr>
        <w:spacing w:after="80" w:line="268"/>
      </w:pPr>
      <w:r>
        <w:t xml:space="preserve">BP3: select only a defensible observed/proxy outcome; prevent target leakage; report ROC-AUC, PR-AUC, recall and calibration.</w:t>
      </w:r>
    </w:p>
    <w:p>
      <w:pPr>
        <w:pStyle w:val="ListParagraph"/>
        <w:numPr>
          <w:ilvl w:val="0"/>
          <w:numId w:val="2"/>
        </w:numPr>
        <w:spacing w:after="80" w:line="268"/>
      </w:pPr>
      <w:r>
        <w:t xml:space="preserve">BP4: do not invent customer IDs. Build standardized issue/event sequences only from actual identifiers/timestamps; if longitudinal identity is absent, call it event/issue journey analytics.</w:t>
      </w:r>
    </w:p>
    <w:p>
      <w:pPr>
        <w:pStyle w:val="ListParagraph"/>
        <w:numPr>
          <w:ilvl w:val="0"/>
          <w:numId w:val="2"/>
        </w:numPr>
        <w:spacing w:after="80" w:line="268"/>
      </w:pPr>
      <w:r>
        <w:t xml:space="preserve">BP5: hypothesis testing, regression and explainability to identify associations; distinguish association from causation.</w:t>
      </w:r>
    </w:p>
    <w:p>
      <w:pPr>
        <w:pStyle w:val="ListParagraph"/>
        <w:numPr>
          <w:ilvl w:val="0"/>
          <w:numId w:val="2"/>
        </w:numPr>
        <w:spacing w:after="80" w:line="268"/>
      </w:pPr>
      <w:r>
        <w:t xml:space="preserve">BP6: retrieve structured evidence, summarize and recommend next actions with citations/evidence fields; human-in-loop.</w:t>
      </w:r>
    </w:p>
    <w:p>
      <w:pPr>
        <w:pStyle w:val="ListParagraph"/>
        <w:numPr>
          <w:ilvl w:val="0"/>
          <w:numId w:val="2"/>
        </w:numPr>
        <w:spacing w:after="80" w:line="268"/>
      </w:pPr>
      <w:r>
        <w:t xml:space="preserve">BP7: transparent decision rules combining BP outputs; record reason codes and thresholds.</w:t>
      </w:r>
    </w:p>
    <w:p>
      <w:pPr>
        <w:pStyle w:val="ListParagraph"/>
        <w:numPr>
          <w:ilvl w:val="0"/>
          <w:numId w:val="2"/>
        </w:numPr>
        <w:spacing w:after="80" w:line="268"/>
      </w:pPr>
      <w:r>
        <w:t xml:space="preserve">BP8: aggregate Gold outputs into executive/product KPIs and drill-downs.</w:t>
      </w:r>
    </w:p>
    <w:p>
      <w:pPr>
        <w:pStyle w:val="Heading1"/>
        <w:spacing w:after="160" w:before="360"/>
      </w:pPr>
      <w:r>
        <w:t xml:space="preserve">8. Governance SOP — 6-Gate Delivery Lifecycle</w:t>
      </w:r>
    </w:p>
    <w:p>
      <w:pPr>
        <w:spacing w:after="120" w:line="276"/>
      </w:pPr>
      <w:r>
        <w:t xml:space="preserve">Every one of the 8 Business Problems moves through the same six gates, in order, compressing the platform's underlying 14-step Enterprise AI Workflow (Section 12) into the auditable checkpoint structure proven on AMEX and Home Credit RiskIQ. A BP is not “complete” until Gate 6 has a real Evidence Ledger row (Section 24). Each gate also carries a compliance touchpoint from the institutional SOP framework in Section 9, so compliance is enforced at every stage, not only at sign-off.</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50"/>
        <w:gridCol w:w="2050"/>
        <w:gridCol w:w="2400"/>
      </w:tblGrid>
      <w:tr>
        <w:trPr>
          <w:tblHeader/>
        </w:trPr>
        <w:tc>
          <w:tcPr>
            <w:tcW w:type="dxa" w:w="500"/>
            <w:shd w:fill="1F3864" w:val="clear"/>
            <w:tcMar>
              <w:top w:type="dxa" w:w="60"/>
              <w:left w:type="dxa" w:w="100"/>
              <w:bottom w:type="dxa" w:w="60"/>
              <w:right w:type="dxa" w:w="100"/>
            </w:tcMar>
            <w:vAlign w:val="center"/>
          </w:tcPr>
          <w:p>
            <w:r>
              <w:rPr>
                <w:b/>
                <w:bCs/>
                <w:color w:val="FFFFFF"/>
                <w:sz w:val="19"/>
                <w:szCs w:val="19"/>
              </w:rPr>
              <w:t xml:space="preserve">Gate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Name</w:t>
            </w:r>
          </w:p>
        </w:tc>
        <w:tc>
          <w:tcPr>
            <w:tcW w:type="dxa" w:w="1850"/>
            <w:shd w:fill="1F3864" w:val="clear"/>
            <w:tcMar>
              <w:top w:type="dxa" w:w="60"/>
              <w:left w:type="dxa" w:w="100"/>
              <w:bottom w:type="dxa" w:w="60"/>
              <w:right w:type="dxa" w:w="100"/>
            </w:tcMar>
            <w:vAlign w:val="center"/>
          </w:tcPr>
          <w:p>
            <w:r>
              <w:rPr>
                <w:b/>
                <w:bCs/>
                <w:color w:val="FFFFFF"/>
                <w:sz w:val="19"/>
                <w:szCs w:val="19"/>
              </w:rPr>
              <w:t xml:space="preserve">Output</w:t>
            </w:r>
          </w:p>
        </w:tc>
        <w:tc>
          <w:tcPr>
            <w:tcW w:type="dxa" w:w="2050"/>
            <w:shd w:fill="1F3864" w:val="clear"/>
            <w:tcMar>
              <w:top w:type="dxa" w:w="60"/>
              <w:left w:type="dxa" w:w="100"/>
              <w:bottom w:type="dxa" w:w="60"/>
              <w:right w:type="dxa" w:w="100"/>
            </w:tcMar>
            <w:vAlign w:val="center"/>
          </w:tcPr>
          <w:p>
            <w:r>
              <w:rPr>
                <w:b/>
                <w:bCs/>
                <w:color w:val="FFFFFF"/>
                <w:sz w:val="19"/>
                <w:szCs w:val="19"/>
              </w:rPr>
              <w:t xml:space="preserve">Exit Criteria</w:t>
            </w:r>
          </w:p>
        </w:tc>
        <w:tc>
          <w:tcPr>
            <w:tcW w:type="dxa" w:w="2400"/>
            <w:shd w:fill="1F3864" w:val="clear"/>
            <w:tcMar>
              <w:top w:type="dxa" w:w="60"/>
              <w:left w:type="dxa" w:w="100"/>
              <w:bottom w:type="dxa" w:w="60"/>
              <w:right w:type="dxa" w:w="100"/>
            </w:tcMar>
            <w:vAlign w:val="center"/>
          </w:tcPr>
          <w:p>
            <w:r>
              <w:rPr>
                <w:b/>
                <w:bCs/>
                <w:color w:val="FFFFFF"/>
                <w:sz w:val="19"/>
                <w:szCs w:val="19"/>
              </w:rPr>
              <w:t xml:space="preserve">Compliance touchpoint</w:t>
            </w:r>
          </w:p>
        </w:tc>
      </w:tr>
      <w:tr>
        <w:tc>
          <w:tcPr>
            <w:tcW w:type="dxa" w:w="500"/>
            <w:tcMar>
              <w:top w:type="dxa" w:w="60"/>
              <w:left w:type="dxa" w:w="100"/>
              <w:bottom w:type="dxa" w:w="60"/>
              <w:right w:type="dxa" w:w="100"/>
            </w:tcMar>
            <w:vAlign w:val="center"/>
          </w:tcPr>
          <w:p>
            <w:r>
              <w:rPr>
                <w:b w:val="false"/>
                <w:bCs w:val="false"/>
                <w:color w:val="000000"/>
                <w:sz w:val="19"/>
                <w:szCs w:val="19"/>
              </w:rPr>
              <w:t xml:space="preserve">1</w:t>
            </w:r>
          </w:p>
        </w:tc>
        <w:tc>
          <w:tcPr>
            <w:tcW w:type="dxa" w:w="2000"/>
            <w:tcMar>
              <w:top w:type="dxa" w:w="60"/>
              <w:left w:type="dxa" w:w="100"/>
              <w:bottom w:type="dxa" w:w="60"/>
              <w:right w:type="dxa" w:w="100"/>
            </w:tcMar>
            <w:vAlign w:val="center"/>
          </w:tcPr>
          <w:p>
            <w:r>
              <w:rPr>
                <w:b w:val="false"/>
                <w:bCs w:val="false"/>
                <w:color w:val="000000"/>
                <w:sz w:val="19"/>
                <w:szCs w:val="19"/>
              </w:rPr>
              <w:t xml:space="preserve">Business Understanding &amp; Policy</w:t>
            </w:r>
          </w:p>
        </w:tc>
        <w:tc>
          <w:tcPr>
            <w:tcW w:type="dxa" w:w="1850"/>
            <w:tcMar>
              <w:top w:type="dxa" w:w="60"/>
              <w:left w:type="dxa" w:w="100"/>
              <w:bottom w:type="dxa" w:w="60"/>
              <w:right w:type="dxa" w:w="100"/>
            </w:tcMar>
            <w:vAlign w:val="center"/>
          </w:tcPr>
          <w:p>
            <w:r>
              <w:rPr>
                <w:b w:val="false"/>
                <w:bCs w:val="false"/>
                <w:color w:val="000000"/>
                <w:sz w:val="19"/>
                <w:szCs w:val="19"/>
              </w:rPr>
              <w:t xml:space="preserve">policy.json: target definition, leakage rules, ASSUMPTIONs</w:t>
            </w:r>
          </w:p>
        </w:tc>
        <w:tc>
          <w:tcPr>
            <w:tcW w:type="dxa" w:w="2050"/>
            <w:tcMar>
              <w:top w:type="dxa" w:w="60"/>
              <w:left w:type="dxa" w:w="100"/>
              <w:bottom w:type="dxa" w:w="60"/>
              <w:right w:type="dxa" w:w="100"/>
            </w:tcMar>
            <w:vAlign w:val="center"/>
          </w:tcPr>
          <w:p>
            <w:r>
              <w:rPr>
                <w:b w:val="false"/>
                <w:bCs w:val="false"/>
                <w:color w:val="000000"/>
                <w:sz w:val="19"/>
                <w:szCs w:val="19"/>
              </w:rPr>
              <w:t xml:space="preserve">No target leakage possible by construction</w:t>
            </w:r>
          </w:p>
        </w:tc>
        <w:tc>
          <w:tcPr>
            <w:tcW w:type="dxa" w:w="2400"/>
            <w:tcMar>
              <w:top w:type="dxa" w:w="60"/>
              <w:left w:type="dxa" w:w="100"/>
              <w:bottom w:type="dxa" w:w="60"/>
              <w:right w:type="dxa" w:w="100"/>
            </w:tcMar>
            <w:vAlign w:val="center"/>
          </w:tcPr>
          <w:p>
            <w:r>
              <w:rPr>
                <w:b w:val="false"/>
                <w:bCs w:val="false"/>
                <w:color w:val="000000"/>
                <w:sz w:val="19"/>
                <w:szCs w:val="19"/>
              </w:rPr>
              <w:t xml:space="preserve">Data-minimization &amp; purpose-limitation statement (GLBA/GDPR-aligned)</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2</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Data Verification &amp; Feature/Taxonomy Engineering (WARP)</w:t>
            </w:r>
          </w:p>
        </w:tc>
        <w:tc>
          <w:tcPr>
            <w:tcW w:type="dxa" w:w="1850"/>
            <w:shd w:fill="F2F2F2" w:val="clear"/>
            <w:tcMar>
              <w:top w:type="dxa" w:w="60"/>
              <w:left w:type="dxa" w:w="100"/>
              <w:bottom w:type="dxa" w:w="60"/>
              <w:right w:type="dxa" w:w="100"/>
            </w:tcMar>
            <w:vAlign w:val="center"/>
          </w:tcPr>
          <w:p>
            <w:r>
              <w:rPr>
                <w:b w:val="false"/>
                <w:bCs w:val="false"/>
                <w:color w:val="000000"/>
                <w:sz w:val="19"/>
                <w:szCs w:val="19"/>
              </w:rPr>
              <w:t xml:space="preserve">Engineered features, taxonomy mapping, real row/column counts</w:t>
            </w:r>
          </w:p>
        </w:tc>
        <w:tc>
          <w:tcPr>
            <w:tcW w:type="dxa" w:w="2050"/>
            <w:shd w:fill="F2F2F2" w:val="clear"/>
            <w:tcMar>
              <w:top w:type="dxa" w:w="60"/>
              <w:left w:type="dxa" w:w="100"/>
              <w:bottom w:type="dxa" w:w="60"/>
              <w:right w:type="dxa" w:w="100"/>
            </w:tcMar>
            <w:vAlign w:val="center"/>
          </w:tcPr>
          <w:p>
            <w:r>
              <w:rPr>
                <w:b w:val="false"/>
                <w:bCs w:val="false"/>
                <w:color w:val="000000"/>
                <w:sz w:val="19"/>
                <w:szCs w:val="19"/>
              </w:rPr>
              <w:t xml:space="preserve">Zero nulls silently dropped; vectorized transforms; feature-lineage table complete</w:t>
            </w:r>
          </w:p>
        </w:tc>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PII screen on narrative text before any downstream/external call</w:t>
            </w:r>
          </w:p>
        </w:tc>
      </w:tr>
      <w:tr>
        <w:tc>
          <w:tcPr>
            <w:tcW w:type="dxa" w:w="500"/>
            <w:tcMar>
              <w:top w:type="dxa" w:w="60"/>
              <w:left w:type="dxa" w:w="100"/>
              <w:bottom w:type="dxa" w:w="60"/>
              <w:right w:type="dxa" w:w="100"/>
            </w:tcMar>
            <w:vAlign w:val="center"/>
          </w:tcPr>
          <w:p>
            <w:r>
              <w:rPr>
                <w:b w:val="false"/>
                <w:bCs w:val="false"/>
                <w:color w:val="000000"/>
                <w:sz w:val="19"/>
                <w:szCs w:val="19"/>
              </w:rPr>
              <w:t xml:space="preserve">3</w:t>
            </w:r>
          </w:p>
        </w:tc>
        <w:tc>
          <w:tcPr>
            <w:tcW w:type="dxa" w:w="2000"/>
            <w:tcMar>
              <w:top w:type="dxa" w:w="60"/>
              <w:left w:type="dxa" w:w="100"/>
              <w:bottom w:type="dxa" w:w="60"/>
              <w:right w:type="dxa" w:w="100"/>
            </w:tcMar>
            <w:vAlign w:val="center"/>
          </w:tcPr>
          <w:p>
            <w:r>
              <w:rPr>
                <w:b w:val="false"/>
                <w:bCs w:val="false"/>
                <w:color w:val="000000"/>
                <w:sz w:val="19"/>
                <w:szCs w:val="19"/>
              </w:rPr>
              <w:t xml:space="preserve">Model / Classifier Benchmark &amp; Champion Selection</w:t>
            </w:r>
          </w:p>
        </w:tc>
        <w:tc>
          <w:tcPr>
            <w:tcW w:type="dxa" w:w="1850"/>
            <w:tcMar>
              <w:top w:type="dxa" w:w="60"/>
              <w:left w:type="dxa" w:w="100"/>
              <w:bottom w:type="dxa" w:w="60"/>
              <w:right w:type="dxa" w:w="100"/>
            </w:tcMar>
            <w:vAlign w:val="center"/>
          </w:tcPr>
          <w:p>
            <w:r>
              <w:rPr>
                <w:b w:val="false"/>
                <w:bCs w:val="false"/>
                <w:color w:val="000000"/>
                <w:sz w:val="19"/>
                <w:szCs w:val="19"/>
              </w:rPr>
              <w:t xml:space="preserve">Benchmarked model set, champion selected</w:t>
            </w:r>
          </w:p>
        </w:tc>
        <w:tc>
          <w:tcPr>
            <w:tcW w:type="dxa" w:w="2050"/>
            <w:tcMar>
              <w:top w:type="dxa" w:w="60"/>
              <w:left w:type="dxa" w:w="100"/>
              <w:bottom w:type="dxa" w:w="60"/>
              <w:right w:type="dxa" w:w="100"/>
            </w:tcMar>
            <w:vAlign w:val="center"/>
          </w:tcPr>
          <w:p>
            <w:r>
              <w:rPr>
                <w:b w:val="false"/>
                <w:bCs w:val="false"/>
                <w:color w:val="000000"/>
                <w:sz w:val="19"/>
                <w:szCs w:val="19"/>
              </w:rPr>
              <w:t xml:space="preserve">Identical CV folds across candidates; champion picked by mean CV metric</w:t>
            </w:r>
          </w:p>
        </w:tc>
        <w:tc>
          <w:tcPr>
            <w:tcW w:type="dxa" w:w="2400"/>
            <w:tcMar>
              <w:top w:type="dxa" w:w="60"/>
              <w:left w:type="dxa" w:w="100"/>
              <w:bottom w:type="dxa" w:w="60"/>
              <w:right w:type="dxa" w:w="100"/>
            </w:tcMar>
            <w:vAlign w:val="center"/>
          </w:tcPr>
          <w:p>
            <w:r>
              <w:rPr>
                <w:b w:val="false"/>
                <w:bCs w:val="false"/>
                <w:color w:val="000000"/>
                <w:sz w:val="19"/>
                <w:szCs w:val="19"/>
              </w:rPr>
              <w:t xml:space="preserve">Model inventory entry opened (SR 11-7 first-line record)</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4</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Statistical Validation &amp; Explainability</w:t>
            </w:r>
          </w:p>
        </w:tc>
        <w:tc>
          <w:tcPr>
            <w:tcW w:type="dxa" w:w="1850"/>
            <w:shd w:fill="F2F2F2" w:val="clear"/>
            <w:tcMar>
              <w:top w:type="dxa" w:w="60"/>
              <w:left w:type="dxa" w:w="100"/>
              <w:bottom w:type="dxa" w:w="60"/>
              <w:right w:type="dxa" w:w="100"/>
            </w:tcMar>
            <w:vAlign w:val="center"/>
          </w:tcPr>
          <w:p>
            <w:r>
              <w:rPr>
                <w:b w:val="false"/>
                <w:bCs w:val="false"/>
                <w:color w:val="000000"/>
                <w:sz w:val="19"/>
                <w:szCs w:val="19"/>
              </w:rPr>
              <w:t xml:space="preserve">Bootstrap CI, calibration, confusion matrix, SHAP sample</w:t>
            </w:r>
          </w:p>
        </w:tc>
        <w:tc>
          <w:tcPr>
            <w:tcW w:type="dxa" w:w="2050"/>
            <w:shd w:fill="F2F2F2" w:val="clear"/>
            <w:tcMar>
              <w:top w:type="dxa" w:w="60"/>
              <w:left w:type="dxa" w:w="100"/>
              <w:bottom w:type="dxa" w:w="60"/>
              <w:right w:type="dxa" w:w="100"/>
            </w:tcMar>
            <w:vAlign w:val="center"/>
          </w:tcPr>
          <w:p>
            <w:r>
              <w:rPr>
                <w:b w:val="false"/>
                <w:bCs w:val="false"/>
                <w:color w:val="000000"/>
                <w:sz w:val="19"/>
                <w:szCs w:val="19"/>
              </w:rPr>
              <w:t xml:space="preserve">All checks numeric and reproducible; leakage re-confirmed</w:t>
            </w:r>
          </w:p>
        </w:tc>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Independent-style validation record (SR 11-7 second-line analog); disparate-impact check where applicable (ECOA/Reg B)</w:t>
            </w:r>
          </w:p>
        </w:tc>
      </w:tr>
      <w:tr>
        <w:tc>
          <w:tcPr>
            <w:tcW w:type="dxa" w:w="500"/>
            <w:tcMar>
              <w:top w:type="dxa" w:w="60"/>
              <w:left w:type="dxa" w:w="100"/>
              <w:bottom w:type="dxa" w:w="60"/>
              <w:right w:type="dxa" w:w="100"/>
            </w:tcMar>
            <w:vAlign w:val="center"/>
          </w:tcPr>
          <w:p>
            <w:r>
              <w:rPr>
                <w:b w:val="false"/>
                <w:bCs w:val="false"/>
                <w:color w:val="000000"/>
                <w:sz w:val="19"/>
                <w:szCs w:val="19"/>
              </w:rPr>
              <w:t xml:space="preserve">5</w:t>
            </w:r>
          </w:p>
        </w:tc>
        <w:tc>
          <w:tcPr>
            <w:tcW w:type="dxa" w:w="2000"/>
            <w:tcMar>
              <w:top w:type="dxa" w:w="60"/>
              <w:left w:type="dxa" w:w="100"/>
              <w:bottom w:type="dxa" w:w="60"/>
              <w:right w:type="dxa" w:w="100"/>
            </w:tcMar>
            <w:vAlign w:val="center"/>
          </w:tcPr>
          <w:p>
            <w:r>
              <w:rPr>
                <w:b w:val="false"/>
                <w:bCs w:val="false"/>
                <w:color w:val="000000"/>
                <w:sz w:val="19"/>
                <w:szCs w:val="19"/>
              </w:rPr>
              <w:t xml:space="preserve">Decision / GenAI Layer &amp; Reporting</w:t>
            </w:r>
          </w:p>
        </w:tc>
        <w:tc>
          <w:tcPr>
            <w:tcW w:type="dxa" w:w="1850"/>
            <w:tcMar>
              <w:top w:type="dxa" w:w="60"/>
              <w:left w:type="dxa" w:w="100"/>
              <w:bottom w:type="dxa" w:w="60"/>
              <w:right w:type="dxa" w:w="100"/>
            </w:tcMar>
            <w:vAlign w:val="center"/>
          </w:tcPr>
          <w:p>
            <w:r>
              <w:rPr>
                <w:b w:val="false"/>
                <w:bCs w:val="false"/>
                <w:color w:val="000000"/>
                <w:sz w:val="19"/>
                <w:szCs w:val="19"/>
              </w:rPr>
              <w:t xml:space="preserve">Grounded GenAI output / decision-engine score with reason codes</w:t>
            </w:r>
          </w:p>
        </w:tc>
        <w:tc>
          <w:tcPr>
            <w:tcW w:type="dxa" w:w="2050"/>
            <w:tcMar>
              <w:top w:type="dxa" w:w="60"/>
              <w:left w:type="dxa" w:w="100"/>
              <w:bottom w:type="dxa" w:w="60"/>
              <w:right w:type="dxa" w:w="100"/>
            </w:tcMar>
            <w:vAlign w:val="center"/>
          </w:tcPr>
          <w:p>
            <w:r>
              <w:rPr>
                <w:b w:val="false"/>
                <w:bCs w:val="false"/>
                <w:color w:val="000000"/>
                <w:sz w:val="19"/>
                <w:szCs w:val="19"/>
              </w:rPr>
              <w:t xml:space="preserve">Every claim carries a citation/evidence field; every score has reason codes</w:t>
            </w:r>
          </w:p>
        </w:tc>
        <w:tc>
          <w:tcPr>
            <w:tcW w:type="dxa" w:w="2400"/>
            <w:tcMar>
              <w:top w:type="dxa" w:w="60"/>
              <w:left w:type="dxa" w:w="100"/>
              <w:bottom w:type="dxa" w:w="60"/>
              <w:right w:type="dxa" w:w="100"/>
            </w:tcMar>
            <w:vAlign w:val="center"/>
          </w:tcPr>
          <w:p>
            <w:r>
              <w:rPr>
                <w:b w:val="false"/>
                <w:bCs w:val="false"/>
                <w:color w:val="000000"/>
                <w:sz w:val="19"/>
                <w:szCs w:val="19"/>
              </w:rPr>
              <w:t xml:space="preserve">UDAAP language review on customer-facing text; NIST AI RMF Measure/Manage check on BP6</w:t>
            </w:r>
          </w:p>
        </w:tc>
      </w:tr>
      <w:tr>
        <w:tc>
          <w:tcPr>
            <w:tcW w:type="dxa" w:w="500"/>
            <w:shd w:fill="F2F2F2" w:val="clear"/>
            <w:tcMar>
              <w:top w:type="dxa" w:w="60"/>
              <w:left w:type="dxa" w:w="100"/>
              <w:bottom w:type="dxa" w:w="60"/>
              <w:right w:type="dxa" w:w="100"/>
            </w:tcMar>
            <w:vAlign w:val="center"/>
          </w:tcPr>
          <w:p>
            <w:r>
              <w:rPr>
                <w:b w:val="false"/>
                <w:bCs w:val="false"/>
                <w:color w:val="000000"/>
                <w:sz w:val="19"/>
                <w:szCs w:val="19"/>
              </w:rPr>
              <w:t xml:space="preserve">6</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Productization, Monitoring &amp; Governance</w:t>
            </w:r>
          </w:p>
        </w:tc>
        <w:tc>
          <w:tcPr>
            <w:tcW w:type="dxa" w:w="1850"/>
            <w:shd w:fill="F2F2F2" w:val="clear"/>
            <w:tcMar>
              <w:top w:type="dxa" w:w="60"/>
              <w:left w:type="dxa" w:w="100"/>
              <w:bottom w:type="dxa" w:w="60"/>
              <w:right w:type="dxa" w:w="100"/>
            </w:tcMar>
            <w:vAlign w:val="center"/>
          </w:tcPr>
          <w:p>
            <w:r>
              <w:rPr>
                <w:b w:val="false"/>
                <w:bCs w:val="false"/>
                <w:color w:val="000000"/>
                <w:sz w:val="19"/>
                <w:szCs w:val="19"/>
              </w:rPr>
              <w:t xml:space="preserve">MODEL_CARD.md, CHANGELOG.md, pytest suite, CI entry, Evidence Ledger row</w:t>
            </w:r>
          </w:p>
        </w:tc>
        <w:tc>
          <w:tcPr>
            <w:tcW w:type="dxa" w:w="2050"/>
            <w:shd w:fill="F2F2F2" w:val="clear"/>
            <w:tcMar>
              <w:top w:type="dxa" w:w="60"/>
              <w:left w:type="dxa" w:w="100"/>
              <w:bottom w:type="dxa" w:w="60"/>
              <w:right w:type="dxa" w:w="100"/>
            </w:tcMar>
            <w:vAlign w:val="center"/>
          </w:tcPr>
          <w:p>
            <w:r>
              <w:rPr>
                <w:b w:val="false"/>
                <w:bCs w:val="false"/>
                <w:color w:val="000000"/>
                <w:sz w:val="19"/>
                <w:szCs w:val="19"/>
              </w:rPr>
              <w:t xml:space="preserve">Governance artifacts exist BEFORE the BP is marked complete</w:t>
            </w:r>
          </w:p>
        </w:tc>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Third-line-analog sign-off: Evidence Ledger row reviewed against Gates 1–5 evidence before close</w:t>
            </w:r>
          </w:p>
        </w:tc>
      </w:tr>
    </w:tbl>
    <w:p>
      <w:pPr>
        <w:pStyle w:val="Heading1"/>
        <w:spacing w:after="160" w:before="360"/>
      </w:pPr>
      <w:r>
        <w:t xml:space="preserve">9. Regulatory &amp; Compliance Framework — Top-Tier Global Financial Institution Standard</w:t>
      </w:r>
    </w:p>
    <w:p>
      <w:pPr>
        <w:spacing w:after="120" w:line="276"/>
      </w:pPr>
      <w:r>
        <w:t xml:space="preserve">A package aimed at global top-tier financial institutions is built against named regulatory frameworks and named institutional SOPs, not generic “best practice.” This section is the single reference for both, applied at every Gate in Section 8 — start to end — not only at final review.</w:t>
      </w:r>
    </w:p>
    <w:p>
      <w:pPr>
        <w:pStyle w:val="Heading2"/>
        <w:spacing w:after="120" w:before="240"/>
      </w:pPr>
      <w:r>
        <w:t xml:space="preserve">9.1 Regulatory frameworks mapped to this suite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400"/>
      </w:tblGrid>
      <w:tr>
        <w:trPr>
          <w:tblHeader/>
        </w:trPr>
        <w:tc>
          <w:tcPr>
            <w:tcW w:type="dxa" w:w="2300"/>
            <w:shd w:fill="1F3864" w:val="clear"/>
            <w:tcMar>
              <w:top w:type="dxa" w:w="60"/>
              <w:left w:type="dxa" w:w="100"/>
              <w:bottom w:type="dxa" w:w="60"/>
              <w:right w:type="dxa" w:w="100"/>
            </w:tcMar>
            <w:vAlign w:val="center"/>
          </w:tcPr>
          <w:p>
            <w:r>
              <w:rPr>
                <w:b/>
                <w:bCs/>
                <w:color w:val="FFFFFF"/>
                <w:sz w:val="19"/>
                <w:szCs w:val="19"/>
              </w:rPr>
              <w:t xml:space="preserve">Framework</w:t>
            </w:r>
          </w:p>
        </w:tc>
        <w:tc>
          <w:tcPr>
            <w:tcW w:type="dxa" w:w="2500"/>
            <w:shd w:fill="1F3864" w:val="clear"/>
            <w:tcMar>
              <w:top w:type="dxa" w:w="60"/>
              <w:left w:type="dxa" w:w="100"/>
              <w:bottom w:type="dxa" w:w="60"/>
              <w:right w:type="dxa" w:w="100"/>
            </w:tcMar>
            <w:vAlign w:val="center"/>
          </w:tcPr>
          <w:p>
            <w:r>
              <w:rPr>
                <w:b/>
                <w:bCs/>
                <w:color w:val="FFFFFF"/>
                <w:sz w:val="19"/>
                <w:szCs w:val="19"/>
              </w:rPr>
              <w:t xml:space="preserve">Governs</w:t>
            </w:r>
          </w:p>
        </w:tc>
        <w:tc>
          <w:tcPr>
            <w:tcW w:type="dxa" w:w="4400"/>
            <w:shd w:fill="1F3864" w:val="clear"/>
            <w:tcMar>
              <w:top w:type="dxa" w:w="60"/>
              <w:left w:type="dxa" w:w="100"/>
              <w:bottom w:type="dxa" w:w="60"/>
              <w:right w:type="dxa" w:w="100"/>
            </w:tcMar>
            <w:vAlign w:val="center"/>
          </w:tcPr>
          <w:p>
            <w:r>
              <w:rPr>
                <w:b/>
                <w:bCs/>
                <w:color w:val="FFFFFF"/>
                <w:sz w:val="19"/>
                <w:szCs w:val="19"/>
              </w:rPr>
              <w:t xml:space="preserve">How it is implemented here</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CFPB supervisory &amp; complaint-handling standards</w:t>
            </w:r>
          </w:p>
        </w:tc>
        <w:tc>
          <w:tcPr>
            <w:tcW w:type="dxa" w:w="2500"/>
            <w:tcMar>
              <w:top w:type="dxa" w:w="60"/>
              <w:left w:type="dxa" w:w="100"/>
              <w:bottom w:type="dxa" w:w="60"/>
              <w:right w:type="dxa" w:w="100"/>
            </w:tcMar>
            <w:vAlign w:val="center"/>
          </w:tcPr>
          <w:p>
            <w:r>
              <w:rPr>
                <w:b w:val="false"/>
                <w:bCs w:val="false"/>
                <w:color w:val="000000"/>
                <w:sz w:val="19"/>
                <w:szCs w:val="19"/>
              </w:rPr>
              <w:t xml:space="preserve">All 8 BPs; primarily BP1–BP4</w:t>
            </w:r>
          </w:p>
        </w:tc>
        <w:tc>
          <w:tcPr>
            <w:tcW w:type="dxa" w:w="4400"/>
            <w:tcMar>
              <w:top w:type="dxa" w:w="60"/>
              <w:left w:type="dxa" w:w="100"/>
              <w:bottom w:type="dxa" w:w="60"/>
              <w:right w:type="dxa" w:w="100"/>
            </w:tcMar>
            <w:vAlign w:val="center"/>
          </w:tcPr>
          <w:p>
            <w:r>
              <w:rPr>
                <w:b w:val="false"/>
                <w:bCs w:val="false"/>
                <w:color w:val="000000"/>
                <w:sz w:val="19"/>
                <w:szCs w:val="19"/>
              </w:rPr>
              <w:t xml:space="preserve">Complaint taxonomy aligned to CFPB's own product/issue/sub-issue schema; no fabricated outcomes; dataset limitations stated wherever a population-level claim could be inferred.</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UDAAP — Unfair, Deceptive, or Abusive Acts or Practices</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BP2 (friction), BP5 (root-cause), BP6 (GenAI resolution text)</w:t>
            </w:r>
          </w:p>
        </w:tc>
        <w:tc>
          <w:tcPr>
            <w:tcW w:type="dxa" w:w="4400"/>
            <w:shd w:fill="F2F2F2" w:val="clear"/>
            <w:tcMar>
              <w:top w:type="dxa" w:w="60"/>
              <w:left w:type="dxa" w:w="100"/>
              <w:bottom w:type="dxa" w:w="60"/>
              <w:right w:type="dxa" w:w="100"/>
            </w:tcMar>
            <w:vAlign w:val="center"/>
          </w:tcPr>
          <w:p>
            <w:r>
              <w:rPr>
                <w:b w:val="false"/>
                <w:bCs w:val="false"/>
                <w:color w:val="000000"/>
                <w:sz w:val="19"/>
                <w:szCs w:val="19"/>
              </w:rPr>
              <w:t xml:space="preserve">Friction/root-cause findings are framed as potential risk indicators only when statistically supported; every GenAI-drafted customer-facing recommendation is reviewed for deceptive/misleading language before human approval (Gate 5).</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SR 11-7 — Federal Reserve / OCC Model Risk Management Guidance</w:t>
            </w:r>
          </w:p>
        </w:tc>
        <w:tc>
          <w:tcPr>
            <w:tcW w:type="dxa" w:w="2500"/>
            <w:tcMar>
              <w:top w:type="dxa" w:w="60"/>
              <w:left w:type="dxa" w:w="100"/>
              <w:bottom w:type="dxa" w:w="60"/>
              <w:right w:type="dxa" w:w="100"/>
            </w:tcMar>
            <w:vAlign w:val="center"/>
          </w:tcPr>
          <w:p>
            <w:r>
              <w:rPr>
                <w:b w:val="false"/>
                <w:bCs w:val="false"/>
                <w:color w:val="000000"/>
                <w:sz w:val="19"/>
                <w:szCs w:val="19"/>
              </w:rPr>
              <w:t xml:space="preserve">All 8 BPs, Gates 3–6</w:t>
            </w:r>
          </w:p>
        </w:tc>
        <w:tc>
          <w:tcPr>
            <w:tcW w:type="dxa" w:w="4400"/>
            <w:tcMar>
              <w:top w:type="dxa" w:w="60"/>
              <w:left w:type="dxa" w:w="100"/>
              <w:bottom w:type="dxa" w:w="60"/>
              <w:right w:type="dxa" w:w="100"/>
            </w:tcMar>
            <w:vAlign w:val="center"/>
          </w:tcPr>
          <w:p>
            <w:r>
              <w:rPr>
                <w:b w:val="false"/>
                <w:bCs w:val="false"/>
                <w:color w:val="000000"/>
                <w:sz w:val="19"/>
                <w:szCs w:val="19"/>
              </w:rPr>
              <w:t xml:space="preserve">Independent-style validation at Gate 4 (bootstrap CI, calibration, leakage checks), a per-BP MODEL_CARD.md, versioned artifacts, and a model inventory (9.2) — no model marked production-ready without documented validation evidence. Same standard already proven on AMEX and Home Credit RiskIQ.</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ECOA / Regulation B — Fair Lending &amp; Adverse Action</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BP1, BP2, BP3, BP7, wherever any demographic-adjacent field could appear</w:t>
            </w:r>
          </w:p>
        </w:tc>
        <w:tc>
          <w:tcPr>
            <w:tcW w:type="dxa" w:w="4400"/>
            <w:shd w:fill="F2F2F2" w:val="clear"/>
            <w:tcMar>
              <w:top w:type="dxa" w:w="60"/>
              <w:left w:type="dxa" w:w="100"/>
              <w:bottom w:type="dxa" w:w="60"/>
              <w:right w:type="dxa" w:w="100"/>
            </w:tcMar>
            <w:vAlign w:val="center"/>
          </w:tcPr>
          <w:p>
            <w:r>
              <w:rPr>
                <w:b w:val="false"/>
                <w:bCs w:val="false"/>
                <w:color w:val="000000"/>
                <w:sz w:val="19"/>
                <w:szCs w:val="19"/>
              </w:rPr>
              <w:t xml:space="preserve">[VERIFY, Section 28] CFPB complaint data as typically pulled does not include protected-class fields; if none are present in the actual extract, this is stated honestly as “Not Applicable — No Protected-Class Field in Scope” rather than skipped silently. If any demographic-adjacent field is present, disparate-impact-style testing runs before Gate 6 sign-off.</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GLBA — Gramm-Leach-Bliley Act, consumer financial privacy</w:t>
            </w:r>
          </w:p>
        </w:tc>
        <w:tc>
          <w:tcPr>
            <w:tcW w:type="dxa" w:w="2500"/>
            <w:tcMar>
              <w:top w:type="dxa" w:w="60"/>
              <w:left w:type="dxa" w:w="100"/>
              <w:bottom w:type="dxa" w:w="60"/>
              <w:right w:type="dxa" w:w="100"/>
            </w:tcMar>
            <w:vAlign w:val="center"/>
          </w:tcPr>
          <w:p>
            <w:r>
              <w:rPr>
                <w:b w:val="false"/>
                <w:bCs w:val="false"/>
                <w:color w:val="000000"/>
                <w:sz w:val="19"/>
                <w:szCs w:val="19"/>
              </w:rPr>
              <w:t xml:space="preserve">All BPs handling narrative/PII-adjacent text</w:t>
            </w:r>
          </w:p>
        </w:tc>
        <w:tc>
          <w:tcPr>
            <w:tcW w:type="dxa" w:w="4400"/>
            <w:tcMar>
              <w:top w:type="dxa" w:w="60"/>
              <w:left w:type="dxa" w:w="100"/>
              <w:bottom w:type="dxa" w:w="60"/>
              <w:right w:type="dxa" w:w="100"/>
            </w:tcMar>
            <w:vAlign w:val="center"/>
          </w:tcPr>
          <w:p>
            <w:r>
              <w:rPr>
                <w:b w:val="false"/>
                <w:bCs w:val="false"/>
                <w:color w:val="000000"/>
                <w:sz w:val="19"/>
                <w:szCs w:val="19"/>
              </w:rPr>
              <w:t xml:space="preserve">No re-identification attempted; any PII surfaced in complaint narratives is screened and masked before any GenAI call (BP6) or external API use (Gate 2 compliance touchpoint).</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NIST AI Risk Management Framework (AI RMF 1.0)</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BP6 (GenAI) primarily; all ML BPs generally</w:t>
            </w:r>
          </w:p>
        </w:tc>
        <w:tc>
          <w:tcPr>
            <w:tcW w:type="dxa" w:w="4400"/>
            <w:shd w:fill="F2F2F2" w:val="clear"/>
            <w:tcMar>
              <w:top w:type="dxa" w:w="60"/>
              <w:left w:type="dxa" w:w="100"/>
              <w:bottom w:type="dxa" w:w="60"/>
              <w:right w:type="dxa" w:w="100"/>
            </w:tcMar>
            <w:vAlign w:val="center"/>
          </w:tcPr>
          <w:p>
            <w:r>
              <w:rPr>
                <w:b w:val="false"/>
                <w:bCs w:val="false"/>
                <w:color w:val="000000"/>
                <w:sz w:val="19"/>
                <w:szCs w:val="19"/>
              </w:rPr>
              <w:t xml:space="preserve">Govern / Map / Measure / Manage functions mapped onto Gates 1–6; every GenAI output requires human-in-loop approval (BP6 methodology) plus a documented risk category.</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GDPR-aligned data handling</w:t>
            </w:r>
          </w:p>
        </w:tc>
        <w:tc>
          <w:tcPr>
            <w:tcW w:type="dxa" w:w="2500"/>
            <w:tcMar>
              <w:top w:type="dxa" w:w="60"/>
              <w:left w:type="dxa" w:w="100"/>
              <w:bottom w:type="dxa" w:w="60"/>
              <w:right w:type="dxa" w:w="100"/>
            </w:tcMar>
            <w:vAlign w:val="center"/>
          </w:tcPr>
          <w:p>
            <w:r>
              <w:rPr>
                <w:b w:val="false"/>
                <w:bCs w:val="false"/>
                <w:color w:val="000000"/>
                <w:sz w:val="19"/>
                <w:szCs w:val="19"/>
              </w:rPr>
              <w:t xml:space="preserve">All BPs</w:t>
            </w:r>
          </w:p>
        </w:tc>
        <w:tc>
          <w:tcPr>
            <w:tcW w:type="dxa" w:w="4400"/>
            <w:tcMar>
              <w:top w:type="dxa" w:w="60"/>
              <w:left w:type="dxa" w:w="100"/>
              <w:bottom w:type="dxa" w:w="60"/>
              <w:right w:type="dxa" w:w="100"/>
            </w:tcMar>
            <w:vAlign w:val="center"/>
          </w:tcPr>
          <w:p>
            <w:r>
              <w:rPr>
                <w:b w:val="false"/>
                <w:bCs w:val="false"/>
                <w:color w:val="000000"/>
                <w:sz w:val="19"/>
                <w:szCs w:val="19"/>
              </w:rPr>
              <w:t xml:space="preserve">Data minimization and purpose limitation stated in the BRD (Gate 1); raw data is never committed to the public repo (10.2 / 21).</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SOC 2 / ISO 27001-aligned control awareness (informational — not a certification claim)</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Repository &amp; infrastructure (Section 18)</w:t>
            </w:r>
          </w:p>
        </w:tc>
        <w:tc>
          <w:tcPr>
            <w:tcW w:type="dxa" w:w="4400"/>
            <w:shd w:fill="F2F2F2" w:val="clear"/>
            <w:tcMar>
              <w:top w:type="dxa" w:w="60"/>
              <w:left w:type="dxa" w:w="100"/>
              <w:bottom w:type="dxa" w:w="60"/>
              <w:right w:type="dxa" w:w="100"/>
            </w:tcMar>
            <w:vAlign w:val="center"/>
          </w:tcPr>
          <w:p>
            <w:r>
              <w:rPr>
                <w:b w:val="false"/>
                <w:bCs w:val="false"/>
                <w:color w:val="000000"/>
                <w:sz w:val="19"/>
                <w:szCs w:val="19"/>
              </w:rPr>
              <w:t xml:space="preserve">Access control via repo permissions, change management via pre-commit hooks + CI (HYPER), and an audit trail via git commit history plus the Evidence Ledger.</w:t>
            </w:r>
          </w:p>
        </w:tc>
      </w:tr>
    </w:tbl>
    <w:p>
      <w:pPr>
        <w:pStyle w:val="Heading2"/>
        <w:spacing w:after="120" w:before="240"/>
      </w:pPr>
      <w:r>
        <w:t xml:space="preserve">9.2 Institutional SOPs — applied honestly as a solo-practitioner adaptation</w:t>
      </w:r>
    </w:p>
    <w:p>
      <w:pPr>
        <w:spacing w:after="120" w:line="276"/>
      </w:pPr>
      <w:r>
        <w:t xml:space="preserve">A top-tier global financial firm runs analytics builds inside a multi-person control environment. This is a solo-practitioner project; the SOPs below are genuinely applied, but disclosed plainly as single-operator adaptations — never presented as a literal multi-person control, consistent with this suite's zero-fabrication standard.</w:t>
      </w:r>
    </w:p>
    <w:p>
      <w:pPr>
        <w:pStyle w:val="ListParagraph"/>
        <w:numPr>
          <w:ilvl w:val="0"/>
          <w:numId w:val="2"/>
        </w:numPr>
        <w:spacing w:after="80" w:line="268"/>
      </w:pPr>
      <w:r>
        <w:rPr>
          <w:b/>
          <w:bCs/>
        </w:rPr>
        <w:t xml:space="preserve">Three Lines of Defense (adapted): </w:t>
      </w:r>
      <w:r>
        <w:t xml:space="preserve">1st line = the BP notebook itself at Gate 1–3 (build); 2nd line = Gate 4's independent-style statistical validation, run as a separate, later pass against the same notebook rather than by a separate reviewer; 3rd line = the Evidence Ledger (Section 24) and Gate 6 governance review before any completion claim.</w:t>
      </w:r>
    </w:p>
    <w:p>
      <w:pPr>
        <w:pStyle w:val="ListParagraph"/>
        <w:numPr>
          <w:ilvl w:val="0"/>
          <w:numId w:val="2"/>
        </w:numPr>
        <w:spacing w:after="80" w:line="268"/>
      </w:pPr>
      <w:r>
        <w:rPr>
          <w:b/>
          <w:bCs/>
        </w:rPr>
        <w:t xml:space="preserve">Segregation of duties (adapted): </w:t>
      </w:r>
      <w:r>
        <w:t xml:space="preserve">approximated by the mandatory two-checkpoint verification (Gap Register #1) — a fixture-execution pass and a separate real-data run reported back — rather than a literal second person; stated as an adaptation, not a claim of multi-person review.</w:t>
      </w:r>
    </w:p>
    <w:p>
      <w:pPr>
        <w:pStyle w:val="ListParagraph"/>
        <w:numPr>
          <w:ilvl w:val="0"/>
          <w:numId w:val="2"/>
        </w:numPr>
        <w:spacing w:after="80" w:line="268"/>
      </w:pPr>
      <w:r>
        <w:rPr>
          <w:b/>
          <w:bCs/>
        </w:rPr>
        <w:t xml:space="preserve">Model Risk Management inventory: </w:t>
      </w:r>
      <w:r>
        <w:t xml:space="preserve">every BP's model is recorded with its type, training data version, validation date and status, extending the Evidence Ledger (Section 24) into a lightweight model inventory.</w:t>
      </w:r>
    </w:p>
    <w:p>
      <w:pPr>
        <w:pStyle w:val="ListParagraph"/>
        <w:numPr>
          <w:ilvl w:val="0"/>
          <w:numId w:val="2"/>
        </w:numPr>
        <w:spacing w:after="80" w:line="268"/>
      </w:pPr>
      <w:r>
        <w:rPr>
          <w:b/>
          <w:bCs/>
        </w:rPr>
        <w:t xml:space="preserve">Change management: </w:t>
      </w:r>
      <w:r>
        <w:t xml:space="preserve">pre-commit hooks (black/flake8/isort/mypy) and CI checks (HYPER, Section 16) function as the change-control gate every commit passes through before merge.</w:t>
      </w:r>
    </w:p>
    <w:p>
      <w:pPr>
        <w:pStyle w:val="ListParagraph"/>
        <w:numPr>
          <w:ilvl w:val="0"/>
          <w:numId w:val="2"/>
        </w:numPr>
        <w:spacing w:after="80" w:line="268"/>
      </w:pPr>
      <w:r>
        <w:rPr>
          <w:b/>
          <w:bCs/>
        </w:rPr>
        <w:t xml:space="preserve">Data governance &amp; lineage: </w:t>
      </w:r>
      <w:r>
        <w:t xml:space="preserve">every derived feature carries a source-lineage definition and formula (already required in Section 12 and Section 25), matching a DAMA-DMBOK-aligned lineage discipline.</w:t>
      </w:r>
    </w:p>
    <w:p>
      <w:pPr>
        <w:pStyle w:val="ListParagraph"/>
        <w:numPr>
          <w:ilvl w:val="0"/>
          <w:numId w:val="2"/>
        </w:numPr>
        <w:spacing w:after="80" w:line="268"/>
      </w:pPr>
      <w:r>
        <w:rPr>
          <w:b/>
          <w:bCs/>
        </w:rPr>
        <w:t xml:space="preserve">Audit trail: </w:t>
      </w:r>
      <w:r>
        <w:t xml:space="preserve">git commit history plus the Evidence Ledger, MODEL_CARD.md and CHANGELOG.md per BP together serve as the audit trail a top-tier institution's model-risk function would expect to review.</w:t>
      </w:r>
    </w:p>
    <w:p>
      <w:pPr>
        <w:pBdr>
          <w:left w:val="single" w:color="0E7C7B" w:sz="18" w:space="8"/>
        </w:pBdr>
        <w:spacing w:after="200" w:before="100"/>
        <w:ind w:left="200"/>
      </w:pPr>
      <w:r>
        <w:rPr>
          <w:i/>
          <w:iCs/>
          <w:color w:val="1F3864"/>
        </w:rPr>
        <w:t xml:space="preserve">This section is deliberately woven into every Gate (Section 8), not appended once at the end — per your instruction that institutional SOPs govern the project from start to finish, not just at final sign-off.</w:t>
      </w:r>
    </w:p>
    <w:p>
      <w:pPr>
        <w:pStyle w:val="Heading1"/>
        <w:spacing w:after="160" w:before="360"/>
      </w:pPr>
      <w:r>
        <w:t xml:space="preserve">10. Delivery Methodology — CRISP-DM, SMART &amp; Agile</w:t>
      </w:r>
    </w:p>
    <w:p>
      <w:pPr>
        <w:spacing w:after="120" w:line="276"/>
      </w:pPr>
      <w:r>
        <w:t xml:space="preserve">The 6-Gate SOP is this suite's concrete implementation of three established, industry-standard delivery methodologies — made explicit so the suite is auditable against named external frameworks, not just an internal checklist.</w:t>
      </w:r>
    </w:p>
    <w:p>
      <w:pPr>
        <w:pStyle w:val="Heading2"/>
        <w:spacing w:after="120" w:before="240"/>
      </w:pPr>
      <w:r>
        <w:t xml:space="preserve">10.1 CRISP-DM mapping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CRISP-DM Phase</w:t>
            </w:r>
          </w:p>
        </w:tc>
        <w:tc>
          <w:tcPr>
            <w:tcW w:type="dxa" w:w="6500"/>
            <w:shd w:fill="1F3864" w:val="clear"/>
            <w:tcMar>
              <w:top w:type="dxa" w:w="60"/>
              <w:left w:type="dxa" w:w="100"/>
              <w:bottom w:type="dxa" w:w="60"/>
              <w:right w:type="dxa" w:w="100"/>
            </w:tcMar>
            <w:vAlign w:val="center"/>
          </w:tcPr>
          <w:p>
            <w:r>
              <w:rPr>
                <w:b/>
                <w:bCs/>
                <w:color w:val="FFFFFF"/>
                <w:sz w:val="19"/>
                <w:szCs w:val="19"/>
              </w:rPr>
              <w:t xml:space="preserve">Where it lives in this suite's SOP</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Business Understanding</w:t>
            </w:r>
          </w:p>
        </w:tc>
        <w:tc>
          <w:tcPr>
            <w:tcW w:type="dxa" w:w="6500"/>
            <w:tcMar>
              <w:top w:type="dxa" w:w="60"/>
              <w:left w:type="dxa" w:w="100"/>
              <w:bottom w:type="dxa" w:w="60"/>
              <w:right w:type="dxa" w:w="100"/>
            </w:tcMar>
            <w:vAlign w:val="center"/>
          </w:tcPr>
          <w:p>
            <w:r>
              <w:rPr>
                <w:b w:val="false"/>
                <w:bCs w:val="false"/>
                <w:color w:val="000000"/>
                <w:sz w:val="19"/>
                <w:szCs w:val="19"/>
              </w:rPr>
              <w:t xml:space="preserve">Gate 1 — Business Understanding &amp; Policy</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Data Understanding</w:t>
            </w:r>
          </w:p>
        </w:tc>
        <w:tc>
          <w:tcPr>
            <w:tcW w:type="dxa" w:w="6500"/>
            <w:shd w:fill="F2F2F2" w:val="clear"/>
            <w:tcMar>
              <w:top w:type="dxa" w:w="60"/>
              <w:left w:type="dxa" w:w="100"/>
              <w:bottom w:type="dxa" w:w="60"/>
              <w:right w:type="dxa" w:w="100"/>
            </w:tcMar>
            <w:vAlign w:val="center"/>
          </w:tcPr>
          <w:p>
            <w:r>
              <w:rPr>
                <w:b w:val="false"/>
                <w:bCs w:val="false"/>
                <w:color w:val="000000"/>
                <w:sz w:val="19"/>
                <w:szCs w:val="19"/>
              </w:rPr>
              <w:t xml:space="preserve">Gate 2 (first half) — real column-by-column CFPB/BANKING77 verification before any code is written</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6500"/>
            <w:tcMar>
              <w:top w:type="dxa" w:w="60"/>
              <w:left w:type="dxa" w:w="100"/>
              <w:bottom w:type="dxa" w:w="60"/>
              <w:right w:type="dxa" w:w="100"/>
            </w:tcMar>
            <w:vAlign w:val="center"/>
          </w:tcPr>
          <w:p>
            <w:r>
              <w:rPr>
                <w:b w:val="false"/>
                <w:bCs w:val="false"/>
                <w:color w:val="000000"/>
                <w:sz w:val="19"/>
                <w:szCs w:val="19"/>
              </w:rPr>
              <w:t xml:space="preserve">Gate 2 (second half) — WARP-vectorized taxonomy mapping and feature engineering, the shared src/features/ module</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Modeling</w:t>
            </w:r>
          </w:p>
        </w:tc>
        <w:tc>
          <w:tcPr>
            <w:tcW w:type="dxa" w:w="6500"/>
            <w:shd w:fill="F2F2F2" w:val="clear"/>
            <w:tcMar>
              <w:top w:type="dxa" w:w="60"/>
              <w:left w:type="dxa" w:w="100"/>
              <w:bottom w:type="dxa" w:w="60"/>
              <w:right w:type="dxa" w:w="100"/>
            </w:tcMar>
            <w:vAlign w:val="center"/>
          </w:tcPr>
          <w:p>
            <w:r>
              <w:rPr>
                <w:b w:val="false"/>
                <w:bCs w:val="false"/>
                <w:color w:val="000000"/>
                <w:sz w:val="19"/>
                <w:szCs w:val="19"/>
              </w:rPr>
              <w:t xml:space="preserve">Gate 3 — classifier/model benchmark, champion selection by mean CV metric</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Evaluation</w:t>
            </w:r>
          </w:p>
        </w:tc>
        <w:tc>
          <w:tcPr>
            <w:tcW w:type="dxa" w:w="6500"/>
            <w:tcMar>
              <w:top w:type="dxa" w:w="60"/>
              <w:left w:type="dxa" w:w="100"/>
              <w:bottom w:type="dxa" w:w="60"/>
              <w:right w:type="dxa" w:w="100"/>
            </w:tcMar>
            <w:vAlign w:val="center"/>
          </w:tcPr>
          <w:p>
            <w:r>
              <w:rPr>
                <w:b w:val="false"/>
                <w:bCs w:val="false"/>
                <w:color w:val="000000"/>
                <w:sz w:val="19"/>
                <w:szCs w:val="19"/>
              </w:rPr>
              <w:t xml:space="preserve">Gate 4 — bootstrap CI, calibration, confusion matrix, explainability</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Deployment</w:t>
            </w:r>
          </w:p>
        </w:tc>
        <w:tc>
          <w:tcPr>
            <w:tcW w:type="dxa" w:w="6500"/>
            <w:shd w:fill="F2F2F2" w:val="clear"/>
            <w:tcMar>
              <w:top w:type="dxa" w:w="60"/>
              <w:left w:type="dxa" w:w="100"/>
              <w:bottom w:type="dxa" w:w="60"/>
              <w:right w:type="dxa" w:w="100"/>
            </w:tcMar>
            <w:vAlign w:val="center"/>
          </w:tcPr>
          <w:p>
            <w:r>
              <w:rPr>
                <w:b w:val="false"/>
                <w:bCs w:val="false"/>
                <w:color w:val="000000"/>
                <w:sz w:val="19"/>
                <w:szCs w:val="19"/>
              </w:rPr>
              <w:t xml:space="preserve">Gates 5–6 — decision/GenAI layer and Power BI packaging, then production packaging &amp; governance (Evidence Ledger row)</w:t>
            </w:r>
          </w:p>
        </w:tc>
      </w:tr>
    </w:tbl>
    <w:p>
      <w:pPr>
        <w:pStyle w:val="Heading2"/>
        <w:spacing w:after="120" w:before="240"/>
      </w:pPr>
      <w:r>
        <w:t xml:space="preserve">10.2 SMART objectives (per Business Problem cluster)</w:t>
      </w:r>
    </w:p>
    <w:p>
      <w:pPr>
        <w:spacing w:after="120" w:line="276"/>
      </w:pPr>
      <w:r>
        <w:t xml:space="preserve">Each cluster's objective is Specific, Measurable, Achievable, Relevant and Time-bound — stated together with its sprint in Section 23.</w:t>
      </w:r>
    </w:p>
    <w:p>
      <w:pPr>
        <w:pStyle w:val="ListParagraph"/>
        <w:numPr>
          <w:ilvl w:val="0"/>
          <w:numId w:val="2"/>
        </w:numPr>
        <w:spacing w:after="80" w:line="268"/>
      </w:pPr>
      <w:r>
        <w:t xml:space="preserve">BP1–BP2 (Intent + Friction): classify real CFPB complaints into BANKING77-mapped intents and a documented friction taxonomy; measured by F1/precision/recall/confusion matrix against a held-out real split; achievable from the confirmed CFPB + BANKING77 schemas; relevant as the foundation every downstream BP consumes; time-bound to Sprint 3.</w:t>
      </w:r>
    </w:p>
    <w:p>
      <w:pPr>
        <w:pStyle w:val="ListParagraph"/>
        <w:numPr>
          <w:ilvl w:val="0"/>
          <w:numId w:val="2"/>
        </w:numPr>
        <w:spacing w:after="80" w:line="268"/>
      </w:pPr>
      <w:r>
        <w:t xml:space="preserve">BP3 (Escalation): predict intervention risk from a defensible real outcome field; measured by ROC-AUC/PR-AUC/recall/calibration; achievable from CFPB response/dispute fields; relevant to prioritizing case handling; time-bound to Sprint 3.</w:t>
      </w:r>
    </w:p>
    <w:p>
      <w:pPr>
        <w:pStyle w:val="ListParagraph"/>
        <w:numPr>
          <w:ilvl w:val="0"/>
          <w:numId w:val="2"/>
        </w:numPr>
        <w:spacing w:after="80" w:line="268"/>
      </w:pPr>
      <w:r>
        <w:t xml:space="preserve">BP4–BP5 (Journey + Root-Cause): build event/issue-level journey views and statistically test drivers; measured by real chi-square/regression coefficients with confidence intervals; achievable from real identifiers/timestamps only; relevant to product/process root-cause work; time-bound to Sprint 4.</w:t>
      </w:r>
    </w:p>
    <w:p>
      <w:pPr>
        <w:pStyle w:val="ListParagraph"/>
        <w:numPr>
          <w:ilvl w:val="0"/>
          <w:numId w:val="2"/>
        </w:numPr>
        <w:spacing w:after="80" w:line="268"/>
      </w:pPr>
      <w:r>
        <w:t xml:space="preserve">BP6–BP7 (GenAI + Decision Engine): deliver grounded resolution assistance and a transparent priority engine; measured by citation coverage, human-approval rate, and reason-code completeness; achievable from BP1–BP5's already-validated outputs; relevant to operational resolution workflows; time-bound to Sprint 5.</w:t>
      </w:r>
    </w:p>
    <w:p>
      <w:pPr>
        <w:pStyle w:val="ListParagraph"/>
        <w:numPr>
          <w:ilvl w:val="0"/>
          <w:numId w:val="2"/>
        </w:numPr>
        <w:spacing w:after="80" w:line="268"/>
      </w:pPr>
      <w:r>
        <w:t xml:space="preserve">BP8 (Executive Analytics): deliver a Power BI decision layer; measured by KPI/drill-down completeness against the RTM; achievable from the Gold layer built in Sprints 1–5; relevant to executive/product decision support; time-bound to Sprint 6.</w:t>
      </w:r>
    </w:p>
    <w:p>
      <w:pPr>
        <w:pStyle w:val="Heading2"/>
        <w:spacing w:after="120" w:before="240"/>
      </w:pPr>
      <w:r>
        <w:t xml:space="preserve">10.3 Agile execution model</w:t>
      </w:r>
    </w:p>
    <w:p>
      <w:pPr>
        <w:pStyle w:val="ListParagraph"/>
        <w:numPr>
          <w:ilvl w:val="0"/>
          <w:numId w:val="2"/>
        </w:numPr>
        <w:spacing w:after="80" w:line="268"/>
      </w:pPr>
      <w:r>
        <w:rPr>
          <w:b/>
          <w:bCs/>
        </w:rPr>
        <w:t xml:space="preserve">Product Backlog = </w:t>
      </w:r>
      <w:r>
        <w:t xml:space="preserve">the 8 Business Problems (Section 5), tracked item-by-item in the live task list, not a static plan document.</w:t>
      </w:r>
    </w:p>
    <w:p>
      <w:pPr>
        <w:pStyle w:val="ListParagraph"/>
        <w:numPr>
          <w:ilvl w:val="0"/>
          <w:numId w:val="2"/>
        </w:numPr>
        <w:spacing w:after="80" w:line="268"/>
      </w:pPr>
      <w:r>
        <w:rPr>
          <w:b/>
          <w:bCs/>
        </w:rPr>
        <w:t xml:space="preserve">Sprint = </w:t>
      </w:r>
      <w:r>
        <w:t xml:space="preserve">one BP cluster's full deliverable batch, per the 6-sprint plan in Section 23.</w:t>
      </w:r>
    </w:p>
    <w:p>
      <w:pPr>
        <w:pStyle w:val="ListParagraph"/>
        <w:numPr>
          <w:ilvl w:val="0"/>
          <w:numId w:val="2"/>
        </w:numPr>
        <w:spacing w:after="80" w:line="268"/>
      </w:pPr>
      <w:r>
        <w:rPr>
          <w:b/>
          <w:bCs/>
        </w:rPr>
        <w:t xml:space="preserve">Sprint Increment = </w:t>
      </w:r>
      <w:r>
        <w:t xml:space="preserve">each BP notebook/module once it passes Gate 4 real Jupyter execution (0 errors) with outputs cleared for delivery — never a partially-working notebook.</w:t>
      </w:r>
    </w:p>
    <w:p>
      <w:pPr>
        <w:pStyle w:val="ListParagraph"/>
        <w:numPr>
          <w:ilvl w:val="0"/>
          <w:numId w:val="2"/>
        </w:numPr>
        <w:spacing w:after="80" w:line="268"/>
      </w:pPr>
      <w:r>
        <w:rPr>
          <w:b/>
          <w:bCs/>
        </w:rPr>
        <w:t xml:space="preserve">Definition of Done = </w:t>
      </w:r>
      <w:r>
        <w:t xml:space="preserve">Gate 6 exit criteria (Section 8) plus a real Evidence Ledger row (Section 24).</w:t>
      </w:r>
    </w:p>
    <w:p>
      <w:pPr>
        <w:pStyle w:val="ListParagraph"/>
        <w:numPr>
          <w:ilvl w:val="0"/>
          <w:numId w:val="2"/>
        </w:numPr>
        <w:spacing w:after="80" w:line="268"/>
      </w:pPr>
      <w:r>
        <w:rPr>
          <w:b/>
          <w:bCs/>
        </w:rPr>
        <w:t xml:space="preserve">Sprint Review = </w:t>
      </w:r>
      <w:r>
        <w:t xml:space="preserve">the Evidence Ledger update performed at the end of each sprint, before the next one starts.</w:t>
      </w:r>
    </w:p>
    <w:p>
      <w:pPr>
        <w:pStyle w:val="ListParagraph"/>
        <w:numPr>
          <w:ilvl w:val="0"/>
          <w:numId w:val="2"/>
        </w:numPr>
        <w:spacing w:after="80" w:line="268"/>
      </w:pPr>
      <w:r>
        <w:rPr>
          <w:b/>
          <w:bCs/>
        </w:rPr>
        <w:t xml:space="preserve">Sprint Retrospective = </w:t>
      </w:r>
      <w:r>
        <w:t xml:space="preserve">Section 3's Gap Register and its refinements — real lessons from AMEX and Home Credit RiskIQ applied as standing process changes here.</w:t>
      </w:r>
    </w:p>
    <w:p>
      <w:pPr>
        <w:spacing w:after="120" w:line="276"/>
      </w:pPr>
      <w:r>
        <w:t xml:space="preserve">Disclosed as a solo-practitioner Agile adaptation (no separate Scrum Master/Product Owner roles, no ceremony calendar) — the artifacts and cadence are real and followed, not a role-play of a team that does not exist.</w:t>
      </w:r>
    </w:p>
    <w:p>
      <w:pPr>
        <w:pStyle w:val="Heading1"/>
        <w:spacing w:after="160" w:before="360"/>
      </w:pPr>
      <w:r>
        <w:t xml:space="preserve">11. Business Analysis Workstream</w:t>
      </w:r>
    </w:p>
    <w:p>
      <w:pPr>
        <w:pStyle w:val="ListParagraph"/>
        <w:numPr>
          <w:ilvl w:val="0"/>
          <w:numId w:val="2"/>
        </w:numPr>
        <w:spacing w:after="80" w:line="268"/>
      </w:pPr>
      <w:r>
        <w:t xml:space="preserve">BRD: business context, stakeholders, objectives, scope, assumptions and measurable outcomes.</w:t>
      </w:r>
    </w:p>
    <w:p>
      <w:pPr>
        <w:pStyle w:val="ListParagraph"/>
        <w:numPr>
          <w:ilvl w:val="0"/>
          <w:numId w:val="2"/>
        </w:numPr>
        <w:spacing w:after="80" w:line="268"/>
      </w:pPr>
      <w:r>
        <w:t xml:space="preserve">FRD: functional/non-functional requirements, data requirements, decision logic and acceptance criteria.</w:t>
      </w:r>
    </w:p>
    <w:p>
      <w:pPr>
        <w:pStyle w:val="ListParagraph"/>
        <w:numPr>
          <w:ilvl w:val="0"/>
          <w:numId w:val="2"/>
        </w:numPr>
        <w:spacing w:after="80" w:line="268"/>
      </w:pPr>
      <w:r>
        <w:t xml:space="preserve">User stories with acceptance criteria for analyst, investigator, product and management personas.</w:t>
      </w:r>
    </w:p>
    <w:p>
      <w:pPr>
        <w:pStyle w:val="ListParagraph"/>
        <w:numPr>
          <w:ilvl w:val="0"/>
          <w:numId w:val="2"/>
        </w:numPr>
        <w:spacing w:after="80" w:line="268"/>
      </w:pPr>
      <w:r>
        <w:t xml:space="preserve">Requirements Traceability Matrix linking requirements → data → model/logic → dashboard → tests.</w:t>
      </w:r>
    </w:p>
    <w:p>
      <w:pPr>
        <w:pStyle w:val="ListParagraph"/>
        <w:numPr>
          <w:ilvl w:val="0"/>
          <w:numId w:val="2"/>
        </w:numPr>
        <w:spacing w:after="80" w:line="268"/>
      </w:pPr>
      <w:r>
        <w:t xml:space="preserve">Process maps and target-state decision flows.</w:t>
      </w:r>
    </w:p>
    <w:p>
      <w:pPr>
        <w:pStyle w:val="Heading1"/>
        <w:spacing w:after="160" w:before="360"/>
      </w:pPr>
      <w:r>
        <w:t xml:space="preserve">12. Enterprise AI Workflow &amp; Data Integrity</w:t>
      </w:r>
    </w:p>
    <w:p>
      <w:pPr>
        <w:spacing w:after="120" w:line="276"/>
      </w:pPr>
      <w:r>
        <w:t xml:space="preserve">Business Understanding → Data Understanding → Data Quality → Data Preparation → Feature Engineering → Baseline Analytics → Model Development → Validation → Explainability → Decision/GenAI Layer → Productization → Monitoring → Governance → Business Validation. This 14-step technical workflow underlies every Gate in Section 8.</w:t>
      </w:r>
    </w:p>
    <w:p>
      <w:pPr>
        <w:pStyle w:val="Heading2"/>
        <w:spacing w:after="120" w:before="240"/>
      </w:pPr>
      <w:r>
        <w:t xml:space="preserve">12.1 Zero-fabrication (standing rule, inherited from AMEX &amp; Home Credit)</w:t>
      </w:r>
    </w:p>
    <w:p>
      <w:pPr>
        <w:pStyle w:val="ListParagraph"/>
        <w:numPr>
          <w:ilvl w:val="0"/>
          <w:numId w:val="2"/>
        </w:numPr>
        <w:spacing w:after="80" w:line="268"/>
      </w:pPr>
      <w:r>
        <w:t xml:space="preserve">No invented customer histories, transactions, complaint text, labels, or outcomes — anywhere in this suite.</w:t>
      </w:r>
    </w:p>
    <w:p>
      <w:pPr>
        <w:pStyle w:val="ListParagraph"/>
        <w:numPr>
          <w:ilvl w:val="0"/>
          <w:numId w:val="2"/>
        </w:numPr>
        <w:spacing w:after="80" w:line="268"/>
      </w:pPr>
      <w:r>
        <w:t xml:space="preserve">Derived fields are allowed only when mathematically computed from source observations and documented in a feature-lineage table.</w:t>
      </w:r>
    </w:p>
    <w:p>
      <w:pPr>
        <w:pStyle w:val="ListParagraph"/>
        <w:numPr>
          <w:ilvl w:val="0"/>
          <w:numId w:val="2"/>
        </w:numPr>
        <w:spacing w:after="80" w:line="268"/>
      </w:pPr>
      <w:r>
        <w:t xml:space="preserve">Every displayed value must be computed live by that notebook's own code during its own run — nothing carried over from memory or a prior session. Anything not real-computed is an explicit, editable ASSUMPTION with a source note.</w:t>
      </w:r>
    </w:p>
    <w:p>
      <w:pPr>
        <w:pStyle w:val="Heading2"/>
        <w:spacing w:after="120" w:before="240"/>
      </w:pPr>
      <w:r>
        <w:t xml:space="preserve">12.2 Execution boundary (standing rule, inherited from AMEX &amp; Home Credit)</w:t>
      </w:r>
    </w:p>
    <w:p>
      <w:pPr>
        <w:pBdr>
          <w:left w:val="single" w:color="0E7C7B" w:sz="18" w:space="8"/>
        </w:pBdr>
        <w:spacing w:after="200" w:before="100"/>
        <w:ind w:left="200"/>
      </w:pPr>
      <w:r>
        <w:rPr>
          <w:i/>
          <w:iCs/>
          <w:color w:val="1F3864"/>
        </w:rPr>
        <w:t xml:space="preserve">Claude must never execute the real data-processing pipeline itself — not even a small synthetic fixture presented as a verdict. Claude's role: generate BP notebooks and src/ modules, audit source code, and (when files are staged) MD5-verify delivered files are byte-identical to the repo. All real numbers, metrics and verdicts come only from your own real run on your own machine, reported back. When summarizing your pasted output, Claude keeps three things strictly separate and labeled: (1) verbatim printed output, (2) Claude's own derived arithmetic from that output, (3) explicitly-labeled assumptions/extrapolations.</w:t>
      </w:r>
    </w:p>
    <w:p>
      <w:pPr>
        <w:pStyle w:val="Heading1"/>
        <w:spacing w:after="160" w:before="360"/>
      </w:pPr>
      <w:r>
        <w:t xml:space="preserve">13. Architecture</w:t>
      </w:r>
    </w:p>
    <w:p>
      <w:pPr>
        <w:spacing w:after="120" w:line="276"/>
      </w:pPr>
      <w:r>
        <w:t xml:space="preserve">Bronze/raw → Silver/validated → Gold/business → taxonomy/Customer360 analytical layer → features → NLP/ML → explainability → grounded GenAI → decision engine → Power BI/API → monitoring/governance.</w:t>
      </w:r>
    </w:p>
    <w:p>
      <w:pPr>
        <w:pStyle w:val="Heading1"/>
        <w:spacing w:after="160" w:before="360"/>
      </w:pPr>
      <w:r>
        <w:t xml:space="preserve">14. Analytical / AI Methodology</w:t>
      </w:r>
    </w:p>
    <w:p>
      <w:pPr>
        <w:pStyle w:val="ListParagraph"/>
        <w:numPr>
          <w:ilvl w:val="0"/>
          <w:numId w:val="2"/>
        </w:numPr>
        <w:spacing w:after="80" w:line="268"/>
      </w:pPr>
      <w:r>
        <w:t xml:space="preserve">Use stratified splits and leakage checks for every classification task.</w:t>
      </w:r>
    </w:p>
    <w:p>
      <w:pPr>
        <w:pStyle w:val="ListParagraph"/>
        <w:numPr>
          <w:ilvl w:val="0"/>
          <w:numId w:val="2"/>
        </w:numPr>
        <w:spacing w:after="80" w:line="268"/>
      </w:pPr>
      <w:r>
        <w:t xml:space="preserve">Use PR-AUC alongside ROC-AUC for imbalanced outcomes (escalation, intervention).</w:t>
      </w:r>
    </w:p>
    <w:p>
      <w:pPr>
        <w:pStyle w:val="ListParagraph"/>
        <w:numPr>
          <w:ilvl w:val="0"/>
          <w:numId w:val="2"/>
        </w:numPr>
        <w:spacing w:after="80" w:line="268"/>
      </w:pPr>
      <w:r>
        <w:t xml:space="preserve">Use SHAP for explainability where appropriate, always on a representative sample, never the full corpus.</w:t>
      </w:r>
    </w:p>
    <w:p>
      <w:pPr>
        <w:pStyle w:val="ListParagraph"/>
        <w:numPr>
          <w:ilvl w:val="0"/>
          <w:numId w:val="2"/>
        </w:numPr>
        <w:spacing w:after="80" w:line="268"/>
      </w:pPr>
      <w:r>
        <w:t xml:space="preserve">Use retrieval/grounding and deterministic templates around GenAI (BP6) — no ungrounded generation is ever presented as a recommendation.</w:t>
      </w:r>
    </w:p>
    <w:p>
      <w:pPr>
        <w:pStyle w:val="ListParagraph"/>
        <w:numPr>
          <w:ilvl w:val="0"/>
          <w:numId w:val="2"/>
        </w:numPr>
        <w:spacing w:after="80" w:line="268"/>
      </w:pPr>
      <w:r>
        <w:t xml:space="preserve">Track taxonomy mapping confidence and an explicit unmapped-category bucket for every BANKING77↔CFPB mapping.</w:t>
      </w:r>
    </w:p>
    <w:p>
      <w:r>
        <w:br w:type="page"/>
      </w:r>
    </w:p>
    <w:p>
      <w:pPr>
        <w:pStyle w:val="Heading1"/>
        <w:spacing w:after="160" w:before="360"/>
      </w:pPr>
      <w:r>
        <w:t xml:space="preserve">15. WARP — Standing Code-Optimization Standard</w:t>
      </w:r>
    </w:p>
    <w:p>
      <w:pPr>
        <w:spacing w:after="120" w:line="276"/>
      </w:pPr>
      <w:r>
        <w:t xml:space="preserve">WARP is the single standing performance trigger word across every project in this lineage (AMEX → Home Credit → Customer360). It governs runtime code speed, not delivery-process speed (see HYPER, Section 16). Applied identically to every BP notebook and src/ module, extended here with NLP-specific levers not needed on the tabular-only prior platforms.</w:t>
      </w:r>
    </w:p>
    <w:p>
      <w:pPr>
        <w:pStyle w:val="Heading2"/>
        <w:spacing w:after="120" w:before="240"/>
      </w:pPr>
      <w:r>
        <w:t xml:space="preserve">15.1 Core standard (inherited, unchanged)</w:t>
      </w:r>
    </w:p>
    <w:p>
      <w:pPr>
        <w:pStyle w:val="ListParagraph"/>
        <w:numPr>
          <w:ilvl w:val="0"/>
          <w:numId w:val="2"/>
        </w:numPr>
        <w:spacing w:after="80" w:line="268"/>
      </w:pPr>
      <w:r>
        <w:t xml:space="preserve">Vectorization and zero-copy I/O throughout — Polars for all structured data-scale operations, never Python-level row loops.</w:t>
      </w:r>
    </w:p>
    <w:p>
      <w:pPr>
        <w:pStyle w:val="ListParagraph"/>
        <w:numPr>
          <w:ilvl w:val="0"/>
          <w:numId w:val="2"/>
        </w:numPr>
        <w:spacing w:after="80" w:line="268"/>
      </w:pPr>
      <w:r>
        <w:t xml:space="preserve">category/float32 dtypes over defaults; Parquet over CSV for any intermediate or reused data.</w:t>
      </w:r>
    </w:p>
    <w:p>
      <w:pPr>
        <w:pStyle w:val="ListParagraph"/>
        <w:numPr>
          <w:ilvl w:val="0"/>
          <w:numId w:val="2"/>
        </w:numPr>
        <w:spacing w:after="80" w:line="268"/>
      </w:pPr>
      <w:r>
        <w:t xml:space="preserve">Numba @njit(parallel=True) for any loop that genuinely cannot be vectorized.</w:t>
      </w:r>
    </w:p>
    <w:p>
      <w:pPr>
        <w:pStyle w:val="ListParagraph"/>
        <w:numPr>
          <w:ilvl w:val="0"/>
          <w:numId w:val="2"/>
        </w:numPr>
        <w:spacing w:after="80" w:line="268"/>
      </w:pPr>
      <w:r>
        <w:t xml:space="preserve">Resource ceilings: max 92% RAM, max 95% CPU logical threads (15 of 16) — never 100%. A hard incident on a prior project (full machine hang at 100% utilization) makes this a safety cap, never a target to pad toward.</w:t>
      </w:r>
    </w:p>
    <w:p>
      <w:pPr>
        <w:pStyle w:val="ListParagraph"/>
        <w:numPr>
          <w:ilvl w:val="0"/>
          <w:numId w:val="2"/>
        </w:numPr>
        <w:spacing w:after="80" w:line="268"/>
      </w:pPr>
      <w:r>
        <w:t xml:space="preserve">Reused (not recreated) thread/process pools; psutil core-affinity pinning where beneficial.</w:t>
      </w:r>
    </w:p>
    <w:p>
      <w:pPr>
        <w:pStyle w:val="ListParagraph"/>
        <w:numPr>
          <w:ilvl w:val="0"/>
          <w:numId w:val="2"/>
        </w:numPr>
        <w:spacing w:after="80" w:line="268"/>
      </w:pPr>
      <w:r>
        <w:t xml:space="preserve">Report generation: batched python-docx writes, matplotlib figures rendered once and reused, vectorized openpyxl/pandas Excel writes.</w:t>
      </w:r>
    </w:p>
    <w:p>
      <w:pPr>
        <w:pStyle w:val="Heading2"/>
        <w:spacing w:after="120" w:before="240"/>
      </w:pPr>
      <w:r>
        <w:t xml:space="preserve">15.2 NLP-specific extensions (new for Customer360)</w:t>
      </w:r>
    </w:p>
    <w:p>
      <w:pPr>
        <w:pStyle w:val="ListParagraph"/>
        <w:numPr>
          <w:ilvl w:val="0"/>
          <w:numId w:val="2"/>
        </w:numPr>
        <w:spacing w:after="80" w:line="268"/>
      </w:pPr>
      <w:r>
        <w:t xml:space="preserve">Batch inference through every intent/friction classifier (BP1/BP2) and the GenAI assistant (BP6) — never a per-row .predict() or per-row API call in a Python loop.</w:t>
      </w:r>
    </w:p>
    <w:p>
      <w:pPr>
        <w:pStyle w:val="ListParagraph"/>
        <w:numPr>
          <w:ilvl w:val="0"/>
          <w:numId w:val="2"/>
        </w:numPr>
        <w:spacing w:after="80" w:line="268"/>
      </w:pPr>
      <w:r>
        <w:t xml:space="preserve">spaCy: use nlp.pipe(texts, batch_size=..., n_process=...) for any spaCy-based preprocessing, benchmarked (not assumed) against the thread ceiling in Section 17.</w:t>
      </w:r>
    </w:p>
    <w:p>
      <w:pPr>
        <w:pStyle w:val="ListParagraph"/>
        <w:numPr>
          <w:ilvl w:val="0"/>
          <w:numId w:val="2"/>
        </w:numPr>
        <w:spacing w:after="80" w:line="268"/>
      </w:pPr>
      <w:r>
        <w:t xml:space="preserve">HuggingFace tokenizers: use the fast (Rust-backed) tokenizer, batched, with padding/truncation set once, not re-derived per call.</w:t>
      </w:r>
    </w:p>
    <w:p>
      <w:pPr>
        <w:pStyle w:val="ListParagraph"/>
        <w:numPr>
          <w:ilvl w:val="0"/>
          <w:numId w:val="2"/>
        </w:numPr>
        <w:spacing w:after="80" w:line="268"/>
      </w:pPr>
      <w:r>
        <w:t xml:space="preserve">Cache every embedding / model output to Parquet keyed by complaint ID + model-version hash, so a re-run never recomputes an unchanged input — the single highest-leverage NLP speed lever on a CPU-only laptop.</w:t>
      </w:r>
    </w:p>
    <w:p>
      <w:pPr>
        <w:pStyle w:val="ListParagraph"/>
        <w:numPr>
          <w:ilvl w:val="0"/>
          <w:numId w:val="2"/>
        </w:numPr>
        <w:spacing w:after="80" w:line="268"/>
      </w:pPr>
      <w:r>
        <w:t xml:space="preserve">Only use float16/int8 quantization for a BP1/BP6 transformer if the Section 17 benchmark step shows it is both faster and accuracy-neutral on this hardware — never assumed.</w:t>
      </w:r>
    </w:p>
    <w:p>
      <w:pPr>
        <w:pStyle w:val="Heading1"/>
        <w:spacing w:after="160" w:before="360"/>
      </w:pPr>
      <w:r>
        <w:t xml:space="preserve">16. HYPER — Standing Delivery-Speed Standard</w:t>
      </w:r>
    </w:p>
    <w:p>
      <w:pPr>
        <w:spacing w:after="120" w:line="276"/>
      </w:pPr>
      <w:r>
        <w:t xml:space="preserve">HYPER is the standing trigger word for build/delivery-process speed, deliberately kept separate from WARP (runtime speed). Applied to how this 8-BP suite itself gets built:</w:t>
      </w:r>
    </w:p>
    <w:p>
      <w:pPr>
        <w:pStyle w:val="ListParagraph"/>
        <w:numPr>
          <w:ilvl w:val="0"/>
          <w:numId w:val="2"/>
        </w:numPr>
        <w:spacing w:after="80" w:line="268"/>
      </w:pPr>
      <w:r>
        <w:rPr>
          <w:b/>
          <w:bCs/>
        </w:rPr>
        <w:t xml:space="preserve">1. </w:t>
      </w:r>
      <w:r>
        <w:t xml:space="preserve">One master notebook template cloned per BP instead of written from scratch.</w:t>
      </w:r>
    </w:p>
    <w:p>
      <w:pPr>
        <w:pStyle w:val="ListParagraph"/>
        <w:numPr>
          <w:ilvl w:val="0"/>
          <w:numId w:val="2"/>
        </w:numPr>
        <w:spacing w:after="80" w:line="268"/>
      </w:pPr>
      <w:r>
        <w:rPr>
          <w:b/>
          <w:bCs/>
        </w:rPr>
        <w:t xml:space="preserve">2. </w:t>
      </w:r>
      <w:r>
        <w:t xml:space="preserve">Reuse the same Dockerfile / CI workflow / Makefile / pyproject.toml across all 8 BPs.</w:t>
      </w:r>
    </w:p>
    <w:p>
      <w:pPr>
        <w:pStyle w:val="ListParagraph"/>
        <w:numPr>
          <w:ilvl w:val="0"/>
          <w:numId w:val="2"/>
        </w:numPr>
        <w:spacing w:after="80" w:line="268"/>
      </w:pPr>
      <w:r>
        <w:rPr>
          <w:b/>
          <w:bCs/>
        </w:rPr>
        <w:t xml:space="preserve">3. </w:t>
      </w:r>
      <w:r>
        <w:t xml:space="preserve">Notebook-writing, infra, and API/testing run as parallel work streams, not sequential.</w:t>
      </w:r>
    </w:p>
    <w:p>
      <w:pPr>
        <w:pStyle w:val="ListParagraph"/>
        <w:numPr>
          <w:ilvl w:val="0"/>
          <w:numId w:val="2"/>
        </w:numPr>
        <w:spacing w:after="80" w:line="268"/>
      </w:pPr>
      <w:r>
        <w:rPr>
          <w:b/>
          <w:bCs/>
        </w:rPr>
        <w:t xml:space="preserve">4. </w:t>
      </w:r>
      <w:r>
        <w:t xml:space="preserve">Config-driven, parametric structure (a per-BP YAML config) over hand-copied duplicates.</w:t>
      </w:r>
    </w:p>
    <w:p>
      <w:pPr>
        <w:pStyle w:val="ListParagraph"/>
        <w:numPr>
          <w:ilvl w:val="0"/>
          <w:numId w:val="2"/>
        </w:numPr>
        <w:spacing w:after="80" w:line="268"/>
      </w:pPr>
      <w:r>
        <w:rPr>
          <w:b/>
          <w:bCs/>
        </w:rPr>
        <w:t xml:space="preserve">5. </w:t>
      </w:r>
      <w:r>
        <w:t xml:space="preserve">A shared src/ component library (taxonomy mapping, feature engineering, model wrappers, evaluation, reporting) built once in Sprint 1 and imported from BP1 onward — never a later retrofit (Section 3 #5).</w:t>
      </w:r>
    </w:p>
    <w:p>
      <w:pPr>
        <w:pStyle w:val="ListParagraph"/>
        <w:numPr>
          <w:ilvl w:val="0"/>
          <w:numId w:val="2"/>
        </w:numPr>
        <w:spacing w:after="80" w:line="268"/>
      </w:pPr>
      <w:r>
        <w:rPr>
          <w:b/>
          <w:bCs/>
        </w:rPr>
        <w:t xml:space="preserve">6. </w:t>
      </w:r>
      <w:r>
        <w:t xml:space="preserve">Auto-generated docs from docstrings + a template.</w:t>
      </w:r>
    </w:p>
    <w:p>
      <w:pPr>
        <w:pStyle w:val="ListParagraph"/>
        <w:numPr>
          <w:ilvl w:val="0"/>
          <w:numId w:val="2"/>
        </w:numPr>
        <w:spacing w:after="80" w:line="268"/>
      </w:pPr>
      <w:r>
        <w:rPr>
          <w:b/>
          <w:bCs/>
        </w:rPr>
        <w:t xml:space="preserve">7. </w:t>
      </w:r>
      <w:r>
        <w:t xml:space="preserve">Pre-commit hooks (black / flake8 / isort / mypy) rejecting bad commits before push.</w:t>
      </w:r>
    </w:p>
    <w:p>
      <w:pPr>
        <w:pStyle w:val="ListParagraph"/>
        <w:numPr>
          <w:ilvl w:val="0"/>
          <w:numId w:val="2"/>
        </w:numPr>
        <w:spacing w:after="80" w:line="268"/>
      </w:pPr>
      <w:r>
        <w:rPr>
          <w:b/>
          <w:bCs/>
        </w:rPr>
        <w:t xml:space="preserve">8. </w:t>
      </w:r>
      <w:r>
        <w:t xml:space="preserve">Parallel CI test jobs split across GitHub Actions runners.</w:t>
      </w:r>
    </w:p>
    <w:p>
      <w:pPr>
        <w:pStyle w:val="ListParagraph"/>
        <w:numPr>
          <w:ilvl w:val="0"/>
          <w:numId w:val="2"/>
        </w:numPr>
        <w:spacing w:after="80" w:line="268"/>
      </w:pPr>
      <w:r>
        <w:rPr>
          <w:b/>
          <w:bCs/>
        </w:rPr>
        <w:t xml:space="preserve">9. </w:t>
      </w:r>
      <w:r>
        <w:t xml:space="preserve">Batched git commits across several BP notebooks instead of one per notebook.</w:t>
      </w:r>
    </w:p>
    <w:p>
      <w:pPr>
        <w:pStyle w:val="ListParagraph"/>
        <w:numPr>
          <w:ilvl w:val="0"/>
          <w:numId w:val="2"/>
        </w:numPr>
        <w:spacing w:after="80" w:line="268"/>
      </w:pPr>
      <w:r>
        <w:rPr>
          <w:b/>
          <w:bCs/>
        </w:rPr>
        <w:t xml:space="preserve">10. </w:t>
      </w:r>
      <w:r>
        <w:t xml:space="preserve">A daily incremental-validation checklist gate before starting the next day's work.</w:t>
      </w:r>
    </w:p>
    <w:p>
      <w:pPr>
        <w:pStyle w:val="Heading2"/>
        <w:spacing w:after="120" w:before="240"/>
      </w:pPr>
      <w:r>
        <w:t xml:space="preserve">16.1 Standing exceptions (carried over from AMEX &amp; Home Credit, still in force)</w:t>
      </w:r>
    </w:p>
    <w:p>
      <w:pPr>
        <w:pStyle w:val="ListParagraph"/>
        <w:numPr>
          <w:ilvl w:val="0"/>
          <w:numId w:val="2"/>
        </w:numPr>
        <w:spacing w:after="80" w:line="268"/>
      </w:pPr>
      <w:r>
        <w:t xml:space="preserve">Smoke-testing-only is never substituted for full test coverage on this suite — full/bit-exact verification stays the standard, exactly as on the two prior platforms.</w:t>
      </w:r>
    </w:p>
    <w:p>
      <w:pPr>
        <w:pStyle w:val="ListParagraph"/>
        <w:numPr>
          <w:ilvl w:val="0"/>
          <w:numId w:val="2"/>
        </w:numPr>
        <w:spacing w:after="80" w:line="268"/>
      </w:pPr>
      <w:r>
        <w:t xml:space="preserve">No unverified CLI scaffolding tool is used without first confirming it is real and installable; scaffolding is hand-written otherwise.</w:t>
      </w:r>
    </w:p>
    <w:p>
      <w:r>
        <w:br w:type="page"/>
      </w:r>
    </w:p>
    <w:p>
      <w:pPr>
        <w:pStyle w:val="Heading1"/>
        <w:spacing w:after="160" w:before="360"/>
      </w:pPr>
      <w:r>
        <w:t xml:space="preserve">17. Hardware &amp; Performance Optimization Spec</w:t>
      </w:r>
    </w:p>
    <w:p>
      <w:pPr>
        <w:spacing w:after="120" w:line="276"/>
      </w:pPr>
      <w:r>
        <w:t xml:space="preserve">This section operationalizes the full “Ultra-Fast &amp; Laptop-Safe AI Optimization” prompt library you supplied, consolidated from its nine prompts into one standing spec, merged with WARP's resource-ceiling standard (Section 15). It replaces and substantially expands the draft's original “Laptop Resource Optimization” bullet list.</w:t>
      </w:r>
    </w:p>
    <w:p>
      <w:pPr>
        <w:pBdr>
          <w:left w:val="single" w:color="0E7C7B" w:sz="18" w:space="8"/>
        </w:pBdr>
        <w:spacing w:after="200" w:before="100"/>
        <w:ind w:left="200"/>
      </w:pPr>
      <w:r>
        <w:rPr>
          <w:i/>
          <w:iCs/>
          <w:color w:val="1F3864"/>
        </w:rPr>
        <w:t xml:space="preserve">Core principle: maximize useful throughput and minimize wall-clock time — without exhausting RAM, causing paging, creating nested parallelism, or triggering thermal throttling. Final rule: optimize for MAXIMUM USEFUL THROUGHPUT and MINIMUM WALL-CLOCK TIME, never for 100% CPU or RAM percentage.</w:t>
      </w:r>
    </w:p>
    <w:p>
      <w:pPr>
        <w:pStyle w:val="Heading2"/>
        <w:spacing w:after="120" w:before="240"/>
      </w:pPr>
      <w:r>
        <w:t xml:space="preserve">17.1 Target hardware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00"/>
      </w:tblGrid>
      <w:tr>
        <w:trPr>
          <w:tblHeader/>
        </w:trPr>
        <w:tc>
          <w:tcPr>
            <w:tcW w:type="dxa" w:w="1400"/>
            <w:shd w:fill="1F3864" w:val="clear"/>
            <w:tcMar>
              <w:top w:type="dxa" w:w="60"/>
              <w:left w:type="dxa" w:w="100"/>
              <w:bottom w:type="dxa" w:w="60"/>
              <w:right w:type="dxa" w:w="100"/>
            </w:tcMar>
            <w:vAlign w:val="center"/>
          </w:tcPr>
          <w:p>
            <w:r>
              <w:rPr>
                <w:b/>
                <w:bCs/>
                <w:color w:val="FFFFFF"/>
                <w:sz w:val="19"/>
                <w:szCs w:val="19"/>
              </w:rPr>
              <w:t xml:space="preserve">Component</w:t>
            </w:r>
          </w:p>
        </w:tc>
        <w:tc>
          <w:tcPr>
            <w:tcW w:type="dxa" w:w="4200"/>
            <w:shd w:fill="1F3864" w:val="clear"/>
            <w:tcMar>
              <w:top w:type="dxa" w:w="60"/>
              <w:left w:type="dxa" w:w="100"/>
              <w:bottom w:type="dxa" w:w="60"/>
              <w:right w:type="dxa" w:w="100"/>
            </w:tcMar>
            <w:vAlign w:val="center"/>
          </w:tcPr>
          <w:p>
            <w:r>
              <w:rPr>
                <w:b/>
                <w:bCs/>
                <w:color w:val="FFFFFF"/>
                <w:sz w:val="19"/>
                <w:szCs w:val="19"/>
              </w:rPr>
              <w:t xml:space="preserve">Stated spec</w:t>
            </w:r>
          </w:p>
        </w:tc>
        <w:tc>
          <w:tcPr>
            <w:tcW w:type="dxa" w:w="3400"/>
            <w:shd w:fill="1F3864" w:val="clear"/>
            <w:tcMar>
              <w:top w:type="dxa" w:w="60"/>
              <w:left w:type="dxa" w:w="100"/>
              <w:bottom w:type="dxa" w:w="60"/>
              <w:right w:type="dxa" w:w="100"/>
            </w:tcMar>
            <w:vAlign w:val="center"/>
          </w:tcPr>
          <w:p>
            <w:r>
              <w:rPr>
                <w:b/>
                <w:bCs/>
                <w:color w:val="FFFFFF"/>
                <w:sz w:val="19"/>
                <w:szCs w:val="19"/>
              </w:rPr>
              <w:t xml:space="preserve">Verification note</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CPU</w:t>
            </w:r>
          </w:p>
        </w:tc>
        <w:tc>
          <w:tcPr>
            <w:tcW w:type="dxa" w:w="4200"/>
            <w:tcMar>
              <w:top w:type="dxa" w:w="60"/>
              <w:left w:type="dxa" w:w="100"/>
              <w:bottom w:type="dxa" w:w="60"/>
              <w:right w:type="dxa" w:w="100"/>
            </w:tcMar>
            <w:vAlign w:val="center"/>
          </w:tcPr>
          <w:p>
            <w:r>
              <w:rPr>
                <w:b w:val="false"/>
                <w:bCs w:val="false"/>
                <w:color w:val="000000"/>
                <w:sz w:val="19"/>
                <w:szCs w:val="19"/>
              </w:rPr>
              <w:t xml:space="preserve">AMD Ryzen AI 7 350 — 8 physical cores / 16 logical threads, up to 5.0 GHz</w:t>
            </w:r>
          </w:p>
        </w:tc>
        <w:tc>
          <w:tcPr>
            <w:tcW w:type="dxa" w:w="3400"/>
            <w:tcMar>
              <w:top w:type="dxa" w:w="60"/>
              <w:left w:type="dxa" w:w="100"/>
              <w:bottom w:type="dxa" w:w="60"/>
              <w:right w:type="dxa" w:w="100"/>
            </w:tcMar>
            <w:vAlign w:val="center"/>
          </w:tcPr>
          <w:p>
            <w:r>
              <w:rPr>
                <w:b w:val="false"/>
                <w:bCs w:val="false"/>
                <w:color w:val="000000"/>
                <w:sz w:val="19"/>
                <w:szCs w:val="19"/>
              </w:rPr>
              <w:t xml:space="preserve">[ASSUMPTION] Sustained boost clock depends on power/thermal profile — confirm live via the auto-detect step below, do not hardcode 5.0 GHz into any script</w:t>
            </w:r>
          </w:p>
        </w:tc>
      </w:tr>
      <w:tr>
        <w:tc>
          <w:tcPr>
            <w:tcW w:type="dxa" w:w="1400"/>
            <w:shd w:fill="F2F2F2" w:val="clear"/>
            <w:tcMar>
              <w:top w:type="dxa" w:w="60"/>
              <w:left w:type="dxa" w:w="100"/>
              <w:bottom w:type="dxa" w:w="60"/>
              <w:right w:type="dxa" w:w="100"/>
            </w:tcMar>
            <w:vAlign w:val="center"/>
          </w:tcPr>
          <w:p>
            <w:r>
              <w:rPr>
                <w:b w:val="false"/>
                <w:bCs w:val="false"/>
                <w:color w:val="000000"/>
                <w:sz w:val="19"/>
                <w:szCs w:val="19"/>
              </w:rPr>
              <w:t xml:space="preserve">RAM</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32 GB DDR5, rated 7500 MHz</w:t>
            </w:r>
          </w:p>
        </w:tc>
        <w:tc>
          <w:tcPr>
            <w:tcW w:type="dxa" w:w="3400"/>
            <w:shd w:fill="F2F2F2" w:val="clear"/>
            <w:tcMar>
              <w:top w:type="dxa" w:w="60"/>
              <w:left w:type="dxa" w:w="100"/>
              <w:bottom w:type="dxa" w:w="60"/>
              <w:right w:type="dxa" w:w="100"/>
            </w:tcMar>
            <w:vAlign w:val="center"/>
          </w:tcPr>
          <w:p>
            <w:r>
              <w:rPr>
                <w:b w:val="false"/>
                <w:bCs w:val="false"/>
                <w:color w:val="000000"/>
                <w:sz w:val="19"/>
                <w:szCs w:val="19"/>
              </w:rPr>
              <w:t xml:space="preserve">Effective speed depends on the BIOS/XMP profile actually applied — confirm via a live memory-bandwidth check, not the rated figure</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Storage</w:t>
            </w:r>
          </w:p>
        </w:tc>
        <w:tc>
          <w:tcPr>
            <w:tcW w:type="dxa" w:w="4200"/>
            <w:tcMar>
              <w:top w:type="dxa" w:w="60"/>
              <w:left w:type="dxa" w:w="100"/>
              <w:bottom w:type="dxa" w:w="60"/>
              <w:right w:type="dxa" w:w="100"/>
            </w:tcMar>
            <w:vAlign w:val="center"/>
          </w:tcPr>
          <w:p>
            <w:r>
              <w:rPr>
                <w:b w:val="false"/>
                <w:bCs w:val="false"/>
                <w:color w:val="000000"/>
                <w:sz w:val="19"/>
                <w:szCs w:val="19"/>
              </w:rPr>
              <w:t xml:space="preserve">~650 GB free SSD (approx., per prior profiling)</w:t>
            </w:r>
          </w:p>
        </w:tc>
        <w:tc>
          <w:tcPr>
            <w:tcW w:type="dxa" w:w="3400"/>
            <w:tcMar>
              <w:top w:type="dxa" w:w="60"/>
              <w:left w:type="dxa" w:w="100"/>
              <w:bottom w:type="dxa" w:w="60"/>
              <w:right w:type="dxa" w:w="100"/>
            </w:tcMar>
            <w:vAlign w:val="center"/>
          </w:tcPr>
          <w:p>
            <w:r>
              <w:rPr>
                <w:b w:val="false"/>
                <w:bCs w:val="false"/>
                <w:color w:val="000000"/>
                <w:sz w:val="19"/>
                <w:szCs w:val="19"/>
              </w:rPr>
              <w:t xml:space="preserve">Re-check free space at Sprint 1 kickoff; keep ≥20–25% free throughout (17.4)</w:t>
            </w:r>
          </w:p>
        </w:tc>
      </w:tr>
      <w:tr>
        <w:tc>
          <w:tcPr>
            <w:tcW w:type="dxa" w:w="1400"/>
            <w:shd w:fill="F2F2F2" w:val="clear"/>
            <w:tcMar>
              <w:top w:type="dxa" w:w="60"/>
              <w:left w:type="dxa" w:w="100"/>
              <w:bottom w:type="dxa" w:w="60"/>
              <w:right w:type="dxa" w:w="100"/>
            </w:tcMar>
            <w:vAlign w:val="center"/>
          </w:tcPr>
          <w:p>
            <w:r>
              <w:rPr>
                <w:b w:val="false"/>
                <w:bCs w:val="false"/>
                <w:color w:val="000000"/>
                <w:sz w:val="19"/>
                <w:szCs w:val="19"/>
              </w:rPr>
              <w:t xml:space="preserve">GPU</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Integrated AMD Radeon 8xx series (no discrete/NVIDIA GPU)</w:t>
            </w:r>
          </w:p>
        </w:tc>
        <w:tc>
          <w:tcPr>
            <w:tcW w:type="dxa" w:w="3400"/>
            <w:shd w:fill="F2F2F2" w:val="clear"/>
            <w:tcMar>
              <w:top w:type="dxa" w:w="60"/>
              <w:left w:type="dxa" w:w="100"/>
              <w:bottom w:type="dxa" w:w="60"/>
              <w:right w:type="dxa" w:w="100"/>
            </w:tcMar>
            <w:vAlign w:val="center"/>
          </w:tcPr>
          <w:p>
            <w:r>
              <w:rPr>
                <w:b w:val="false"/>
                <w:bCs w:val="false"/>
                <w:color w:val="000000"/>
                <w:sz w:val="19"/>
                <w:szCs w:val="19"/>
              </w:rPr>
              <w:t xml:space="preserve">No CUDA — XGBoost/LightGBM/CatBoost “GPU mode” and most PyTorch CUDA paths do not apply. Benchmark ROCm/DirectML support before claiming any GPU acceleration (17.6)</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NPU</w:t>
            </w:r>
          </w:p>
        </w:tc>
        <w:tc>
          <w:tcPr>
            <w:tcW w:type="dxa" w:w="4200"/>
            <w:tcMar>
              <w:top w:type="dxa" w:w="60"/>
              <w:left w:type="dxa" w:w="100"/>
              <w:bottom w:type="dxa" w:w="60"/>
              <w:right w:type="dxa" w:w="100"/>
            </w:tcMar>
            <w:vAlign w:val="center"/>
          </w:tcPr>
          <w:p>
            <w:r>
              <w:rPr>
                <w:b w:val="false"/>
                <w:bCs w:val="false"/>
                <w:color w:val="000000"/>
                <w:sz w:val="19"/>
                <w:szCs w:val="19"/>
              </w:rPr>
              <w:t xml:space="preserve">Integrated AI NPU (Ryzen AI)</w:t>
            </w:r>
          </w:p>
        </w:tc>
        <w:tc>
          <w:tcPr>
            <w:tcW w:type="dxa" w:w="3400"/>
            <w:tcMar>
              <w:top w:type="dxa" w:w="60"/>
              <w:left w:type="dxa" w:w="100"/>
              <w:bottom w:type="dxa" w:w="60"/>
              <w:right w:type="dxa" w:w="100"/>
            </w:tcMar>
            <w:vAlign w:val="center"/>
          </w:tcPr>
          <w:p>
            <w:r>
              <w:rPr>
                <w:b w:val="false"/>
                <w:bCs w:val="false"/>
                <w:color w:val="000000"/>
                <w:sz w:val="19"/>
                <w:szCs w:val="19"/>
              </w:rPr>
              <w:t xml:space="preserve">Usable only through a supported runtime (e.g. ONNX Runtime NPU execution provider) — do not claim NPU acceleration for XGBoost/LightGBM/CatBoost/scikit-learn/spaCy, none of which have an NPU path</w:t>
            </w:r>
          </w:p>
        </w:tc>
      </w:tr>
      <w:tr>
        <w:tc>
          <w:tcPr>
            <w:tcW w:type="dxa" w:w="1400"/>
            <w:shd w:fill="F2F2F2" w:val="clear"/>
            <w:tcMar>
              <w:top w:type="dxa" w:w="60"/>
              <w:left w:type="dxa" w:w="100"/>
              <w:bottom w:type="dxa" w:w="60"/>
              <w:right w:type="dxa" w:w="100"/>
            </w:tcMar>
            <w:vAlign w:val="center"/>
          </w:tcPr>
          <w:p>
            <w:r>
              <w:rPr>
                <w:b w:val="false"/>
                <w:bCs w:val="false"/>
                <w:color w:val="000000"/>
                <w:sz w:val="19"/>
                <w:szCs w:val="19"/>
              </w:rPr>
              <w:t xml:space="preserve">OS / Env</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Windows 11, Python/Conda</w:t>
            </w:r>
          </w:p>
        </w:tc>
        <w:tc>
          <w:tcPr>
            <w:tcW w:type="dxa" w:w="3400"/>
            <w:shd w:fill="F2F2F2" w:val="clear"/>
            <w:tcMar>
              <w:top w:type="dxa" w:w="60"/>
              <w:left w:type="dxa" w:w="100"/>
              <w:bottom w:type="dxa" w:w="60"/>
              <w:right w:type="dxa" w:w="100"/>
            </w:tcMar>
            <w:vAlign w:val="center"/>
          </w:tcPr>
          <w:p>
            <w:r>
              <w:rPr>
                <w:b w:val="false"/>
                <w:bCs w:val="false"/>
                <w:color w:val="000000"/>
                <w:sz w:val="19"/>
                <w:szCs w:val="19"/>
              </w:rPr>
              <w:t xml:space="preserve">—</w:t>
            </w:r>
          </w:p>
        </w:tc>
      </w:tr>
    </w:tbl>
    <w:p>
      <w:pPr>
        <w:pStyle w:val="Heading2"/>
        <w:spacing w:after="120" w:before="240"/>
      </w:pPr>
      <w:r>
        <w:t xml:space="preserve">17.2 Auto-detect &amp; benchmark-first protocol (run once at Sprint 1 kickoff, re-run if hardware changes)</w:t>
      </w:r>
    </w:p>
    <w:p>
      <w:pPr>
        <w:spacing w:after="120" w:line="276"/>
      </w:pPr>
      <w:r>
        <w:t xml:space="preserve">Before any BP notebook is optimized, a one-time benchmark notebook (00_hardware_benchmark.ipynb) detects and records:</w:t>
      </w:r>
    </w:p>
    <w:p>
      <w:pPr>
        <w:pStyle w:val="ListParagraph"/>
        <w:numPr>
          <w:ilvl w:val="0"/>
          <w:numId w:val="2"/>
        </w:numPr>
        <w:spacing w:after="80" w:line="268"/>
      </w:pPr>
      <w:r>
        <w:t xml:space="preserve">Physical cores, logical threads, live CPU frequency, available RAM, GPU model + VRAM, NPU availability, SSD free space, Python/XGBoost/CatBoost/LightGBM versions.</w:t>
      </w:r>
    </w:p>
    <w:p>
      <w:pPr>
        <w:spacing w:after="120" w:line="276"/>
      </w:pPr>
      <w:r>
        <w:t xml:space="preserve">Then benchmarks, and keeps only the configuration with the lowest stable wall-clock time — never the highest utilization percentage:</w:t>
      </w:r>
    </w:p>
    <w:p>
      <w:pPr>
        <w:pStyle w:val="ListParagraph"/>
        <w:numPr>
          <w:ilvl w:val="0"/>
          <w:numId w:val="2"/>
        </w:numPr>
        <w:spacing w:after="80" w:line="268"/>
      </w:pPr>
      <w:r>
        <w:t xml:space="preserve">CPU thread counts: 4, 8, 12, and 16 threads.</w:t>
      </w:r>
    </w:p>
    <w:p>
      <w:pPr>
        <w:pStyle w:val="ListParagraph"/>
        <w:numPr>
          <w:ilvl w:val="0"/>
          <w:numId w:val="2"/>
        </w:numPr>
        <w:spacing w:after="80" w:line="268"/>
      </w:pPr>
      <w:r>
        <w:t xml:space="preserve">Sequential 5-fold CV vs. parallel 5-fold CV, on identical StratifiedKFold(n_splits=5, shuffle=True, random_state=42) folds.</w:t>
      </w:r>
    </w:p>
    <w:p>
      <w:pPr>
        <w:pStyle w:val="ListParagraph"/>
        <w:numPr>
          <w:ilvl w:val="0"/>
          <w:numId w:val="2"/>
        </w:numPr>
        <w:spacing w:after="80" w:line="268"/>
      </w:pPr>
      <w:r>
        <w:t xml:space="preserve">CPU vs. GPU vs. NPU, wherever a framework claims support — never assumed faster by default.</w:t>
      </w:r>
    </w:p>
    <w:p>
      <w:pPr>
        <w:pStyle w:val="ListParagraph"/>
        <w:numPr>
          <w:ilvl w:val="0"/>
          <w:numId w:val="2"/>
        </w:numPr>
        <w:spacing w:after="80" w:line="268"/>
      </w:pPr>
      <w:r>
        <w:t xml:space="preserve">Nested parallelism is explicitly prevented (e.g. outer parallel CV with inner n_jobs=-1 models simultaneously) — exactly one layer of the pipeline is ever parallel at a time.</w:t>
      </w:r>
    </w:p>
    <w:p>
      <w:pPr>
        <w:spacing w:after="120" w:line="276"/>
      </w:pPr>
      <w:r>
        <w:t xml:space="preserve">The benchmark notebook's own output — not this document — is the source of truth for which thread count, CV mode, and CPU/GPU/NPU setting each later BP notebook actually uses.</w:t>
      </w:r>
    </w:p>
    <w:p>
      <w:pPr>
        <w:pStyle w:val="Heading2"/>
        <w:spacing w:after="120" w:before="240"/>
      </w:pPr>
      <w:r>
        <w:t xml:space="preserve">17.3 RAM strategy</w:t>
      </w:r>
    </w:p>
    <w:p>
      <w:pPr>
        <w:pStyle w:val="ListParagraph"/>
        <w:numPr>
          <w:ilvl w:val="0"/>
          <w:numId w:val="2"/>
        </w:numPr>
        <w:spacing w:after="80" w:line="268"/>
      </w:pPr>
      <w:r>
        <w:t xml:space="preserve">Never deliberately exhaust physical RAM; reserve sufficient headroom for Windows and background processes.</w:t>
      </w:r>
    </w:p>
    <w:p>
      <w:pPr>
        <w:pStyle w:val="ListParagraph"/>
        <w:numPr>
          <w:ilvl w:val="0"/>
          <w:numId w:val="2"/>
        </w:numPr>
        <w:spacing w:after="80" w:line="268"/>
      </w:pPr>
      <w:r>
        <w:t xml:space="preserve">Hard ceiling: 92% of 32 GB (≈29.4 GB) peak working-set, enforced in a resource_limits block in the shared config, mirroring the WARP standard.</w:t>
      </w:r>
    </w:p>
    <w:p>
      <w:pPr>
        <w:pStyle w:val="ListParagraph"/>
        <w:numPr>
          <w:ilvl w:val="0"/>
          <w:numId w:val="2"/>
        </w:numPr>
        <w:spacing w:after="80" w:line="268"/>
      </w:pPr>
      <w:r>
        <w:t xml:space="preserve">Avoid unnecessary DataFrame copies; use memory-efficient dtypes (category, float32/int32 where safe); release temporary objects and monitor peak RAM.</w:t>
      </w:r>
    </w:p>
    <w:p>
      <w:pPr>
        <w:pStyle w:val="ListParagraph"/>
        <w:numPr>
          <w:ilvl w:val="0"/>
          <w:numId w:val="2"/>
        </w:numPr>
        <w:spacing w:after="80" w:line="268"/>
      </w:pPr>
      <w:r>
        <w:t xml:space="preserve">Never hold simultaneous full copies of the entire complaint corpus — prefer Polars lazy scans or DuckDB SQL-style aggregation over materializing every intermediate frame.</w:t>
      </w:r>
    </w:p>
    <w:p>
      <w:pPr>
        <w:pStyle w:val="ListParagraph"/>
        <w:numPr>
          <w:ilvl w:val="0"/>
          <w:numId w:val="2"/>
        </w:numPr>
        <w:spacing w:after="80" w:line="268"/>
      </w:pPr>
      <w:r>
        <w:t xml:space="preserve">Detect paging in real time and automatically reduce parallelism if memory pressure becomes excessive, rather than letting the OS swap silently.</w:t>
      </w:r>
    </w:p>
    <w:p>
      <w:pPr>
        <w:pStyle w:val="Heading2"/>
        <w:spacing w:after="120" w:before="240"/>
      </w:pPr>
      <w:r>
        <w:t xml:space="preserve">17.4 SSD strategy</w:t>
      </w:r>
    </w:p>
    <w:p>
      <w:pPr>
        <w:pStyle w:val="ListParagraph"/>
        <w:numPr>
          <w:ilvl w:val="0"/>
          <w:numId w:val="2"/>
        </w:numPr>
        <w:spacing w:after="80" w:line="268"/>
      </w:pPr>
      <w:r>
        <w:t xml:space="preserve">Convert CSV/Excel extracts to Parquet with columnar compression wherever the data is read more than once.</w:t>
      </w:r>
    </w:p>
    <w:p>
      <w:pPr>
        <w:pStyle w:val="ListParagraph"/>
        <w:numPr>
          <w:ilvl w:val="0"/>
          <w:numId w:val="2"/>
        </w:numPr>
        <w:spacing w:after="80" w:line="268"/>
      </w:pPr>
      <w:r>
        <w:t xml:space="preserve">Read only required columns (column pruning); use chunking or memory-mapping for anything approaching RAM size.</w:t>
      </w:r>
    </w:p>
    <w:p>
      <w:pPr>
        <w:pStyle w:val="ListParagraph"/>
        <w:numPr>
          <w:ilvl w:val="0"/>
          <w:numId w:val="2"/>
        </w:numPr>
        <w:spacing w:after="80" w:line="268"/>
      </w:pPr>
      <w:r>
        <w:t xml:space="preserve">Use SSD for cached intermediate artifacts (taxonomy-mapped tables, embeddings, checkpointed BP outputs) only when it demonstrably reduces total wall-clock time — never as a substitute for RAM, and never relying on the Windows pagefile as a design assumption.</w:t>
      </w:r>
    </w:p>
    <w:p>
      <w:pPr>
        <w:pStyle w:val="ListParagraph"/>
        <w:numPr>
          <w:ilvl w:val="0"/>
          <w:numId w:val="2"/>
        </w:numPr>
        <w:spacing w:after="80" w:line="268"/>
      </w:pPr>
      <w:r>
        <w:t xml:space="preserve">Keep at least 20–25% SSD free at all times; store raw data once, avoid duplicate CSV copies; delete unnecessary temp files automatically after a notebook completes successfully.</w:t>
      </w:r>
    </w:p>
    <w:p>
      <w:pPr>
        <w:pStyle w:val="ListParagraph"/>
        <w:numPr>
          <w:ilvl w:val="0"/>
          <w:numId w:val="2"/>
        </w:numPr>
        <w:spacing w:after="80" w:line="268"/>
      </w:pPr>
      <w:r>
        <w:t xml:space="preserve">Write intermediate Gold tables to Parquet after every Gate so a notebook can resume without recomputation — checkpoint after each BP, save metrics/results as JSON/CSV.</w:t>
      </w:r>
    </w:p>
    <w:p>
      <w:pPr>
        <w:pStyle w:val="Heading2"/>
        <w:spacing w:after="120" w:before="240"/>
      </w:pPr>
      <w:r>
        <w:t xml:space="preserve">17.5 Model-specific optimization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100"/>
      </w:tblGrid>
      <w:tr>
        <w:trPr>
          <w:tblHeader/>
        </w:trPr>
        <w:tc>
          <w:tcPr>
            <w:tcW w:type="dxa" w:w="1600"/>
            <w:shd w:fill="1F3864" w:val="clear"/>
            <w:tcMar>
              <w:top w:type="dxa" w:w="60"/>
              <w:left w:type="dxa" w:w="100"/>
              <w:bottom w:type="dxa" w:w="60"/>
              <w:right w:type="dxa" w:w="100"/>
            </w:tcMar>
            <w:vAlign w:val="center"/>
          </w:tcPr>
          <w:p>
            <w:r>
              <w:rPr>
                <w:b/>
                <w:bCs/>
                <w:color w:val="FFFFFF"/>
                <w:sz w:val="19"/>
                <w:szCs w:val="19"/>
              </w:rPr>
              <w:t xml:space="preserve">BP cluster</w:t>
            </w:r>
          </w:p>
        </w:tc>
        <w:tc>
          <w:tcPr>
            <w:tcW w:type="dxa" w:w="3300"/>
            <w:shd w:fill="1F3864" w:val="clear"/>
            <w:tcMar>
              <w:top w:type="dxa" w:w="60"/>
              <w:left w:type="dxa" w:w="100"/>
              <w:bottom w:type="dxa" w:w="60"/>
              <w:right w:type="dxa" w:w="100"/>
            </w:tcMar>
            <w:vAlign w:val="center"/>
          </w:tcPr>
          <w:p>
            <w:r>
              <w:rPr>
                <w:b/>
                <w:bCs/>
                <w:color w:val="FFFFFF"/>
                <w:sz w:val="19"/>
                <w:szCs w:val="19"/>
              </w:rPr>
              <w:t xml:space="preserve">Model / component family</w:t>
            </w:r>
          </w:p>
        </w:tc>
        <w:tc>
          <w:tcPr>
            <w:tcW w:type="dxa" w:w="4100"/>
            <w:shd w:fill="1F3864" w:val="clear"/>
            <w:tcMar>
              <w:top w:type="dxa" w:w="60"/>
              <w:left w:type="dxa" w:w="100"/>
              <w:bottom w:type="dxa" w:w="60"/>
              <w:right w:type="dxa" w:w="100"/>
            </w:tcMar>
            <w:vAlign w:val="center"/>
          </w:tcPr>
          <w:p>
            <w:r>
              <w:rPr>
                <w:b/>
                <w:bCs/>
                <w:color w:val="FFFFFF"/>
                <w:sz w:val="19"/>
                <w:szCs w:val="19"/>
              </w:rPr>
              <w:t xml:space="preserve">Primary optimization levers</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BP1, BP2, BP6 (NLP)</w:t>
            </w:r>
          </w:p>
        </w:tc>
        <w:tc>
          <w:tcPr>
            <w:tcW w:type="dxa" w:w="3300"/>
            <w:tcMar>
              <w:top w:type="dxa" w:w="60"/>
              <w:left w:type="dxa" w:w="100"/>
              <w:bottom w:type="dxa" w:w="60"/>
              <w:right w:type="dxa" w:w="100"/>
            </w:tcMar>
            <w:vAlign w:val="center"/>
          </w:tcPr>
          <w:p>
            <w:r>
              <w:rPr>
                <w:b w:val="false"/>
                <w:bCs w:val="false"/>
                <w:color w:val="000000"/>
                <w:sz w:val="19"/>
                <w:szCs w:val="19"/>
              </w:rPr>
              <w:t xml:space="preserve">spaCy pipeline, sentence-embedding model, small transformer / classical text classifier, GenAI call</w:t>
            </w:r>
          </w:p>
        </w:tc>
        <w:tc>
          <w:tcPr>
            <w:tcW w:type="dxa" w:w="4100"/>
            <w:tcMar>
              <w:top w:type="dxa" w:w="60"/>
              <w:left w:type="dxa" w:w="100"/>
              <w:bottom w:type="dxa" w:w="60"/>
              <w:right w:type="dxa" w:w="100"/>
            </w:tcMar>
            <w:vAlign w:val="center"/>
          </w:tcPr>
          <w:p>
            <w:r>
              <w:rPr>
                <w:b w:val="false"/>
                <w:bCs w:val="false"/>
                <w:color w:val="000000"/>
                <w:sz w:val="19"/>
                <w:szCs w:val="19"/>
              </w:rPr>
              <w:t xml:space="preserve">Batched nlp.pipe / batched tokenization; embedding cache keyed by ID+model-version (15.2); benchmark CPU vs. NPU/GPU before use; minimize CPU–GPU transfer if GPU is ever used; grounding templates keep the GenAI call lightweight</w:t>
            </w:r>
          </w:p>
        </w:tc>
      </w:tr>
      <w:tr>
        <w:tc>
          <w:tcPr>
            <w:tcW w:type="dxa" w:w="1600"/>
            <w:shd w:fill="F2F2F2" w:val="clear"/>
            <w:tcMar>
              <w:top w:type="dxa" w:w="60"/>
              <w:left w:type="dxa" w:w="100"/>
              <w:bottom w:type="dxa" w:w="60"/>
              <w:right w:type="dxa" w:w="100"/>
            </w:tcMar>
            <w:vAlign w:val="center"/>
          </w:tcPr>
          <w:p>
            <w:r>
              <w:rPr>
                <w:b w:val="false"/>
                <w:bCs w:val="false"/>
                <w:color w:val="000000"/>
                <w:sz w:val="19"/>
                <w:szCs w:val="19"/>
              </w:rPr>
              <w:t xml:space="preserve">BP3, BP5, BP7 (tabular classification / regression)</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Logistic Regression, Random Forest, Gradient Boosting, XGBoost, CatBoost, LightGBM (6-model benchmark set, mirroring the AMEX/Home Credit standard)</w:t>
            </w:r>
          </w:p>
        </w:tc>
        <w:tc>
          <w:tcPr>
            <w:tcW w:type="dxa" w:w="4100"/>
            <w:shd w:fill="F2F2F2" w:val="clear"/>
            <w:tcMar>
              <w:top w:type="dxa" w:w="60"/>
              <w:left w:type="dxa" w:w="100"/>
              <w:bottom w:type="dxa" w:w="60"/>
              <w:right w:type="dxa" w:w="100"/>
            </w:tcMar>
            <w:vAlign w:val="center"/>
          </w:tcPr>
          <w:p>
            <w:r>
              <w:rPr>
                <w:b w:val="false"/>
                <w:bCs w:val="false"/>
                <w:color w:val="000000"/>
                <w:sz w:val="19"/>
                <w:szCs w:val="19"/>
              </w:rPr>
              <w:t xml:space="preserve">XGBoost: tree_method, n_jobs, depth, learning_rate, subsampling, early stopping. CatBoost: thread_count, depth, iterations, learning_rate, early stopping. LightGBM: num_threads, num_leaves, depth, feature_fraction, early stopping. Logistic Regression: solver, BLAS threading, sparse representation, max_iter. Random Forest: n_estimators, depth, leaf constraints, max_features, n_jobs. Gradient Boosting: estimators, learning_rate, depth, subsampling</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BP4 (journey aggregation)</w:t>
            </w:r>
          </w:p>
        </w:tc>
        <w:tc>
          <w:tcPr>
            <w:tcW w:type="dxa" w:w="3300"/>
            <w:tcMar>
              <w:top w:type="dxa" w:w="60"/>
              <w:left w:type="dxa" w:w="100"/>
              <w:bottom w:type="dxa" w:w="60"/>
              <w:right w:type="dxa" w:w="100"/>
            </w:tcMar>
            <w:vAlign w:val="center"/>
          </w:tcPr>
          <w:p>
            <w:r>
              <w:rPr>
                <w:b w:val="false"/>
                <w:bCs w:val="false"/>
                <w:color w:val="000000"/>
                <w:sz w:val="19"/>
                <w:szCs w:val="19"/>
              </w:rPr>
              <w:t xml:space="preserve">Polars / DuckDB aggregation pipeline</w:t>
            </w:r>
          </w:p>
        </w:tc>
        <w:tc>
          <w:tcPr>
            <w:tcW w:type="dxa" w:w="4100"/>
            <w:tcMar>
              <w:top w:type="dxa" w:w="60"/>
              <w:left w:type="dxa" w:w="100"/>
              <w:bottom w:type="dxa" w:w="60"/>
              <w:right w:type="dxa" w:w="100"/>
            </w:tcMar>
            <w:vAlign w:val="center"/>
          </w:tcPr>
          <w:p>
            <w:r>
              <w:rPr>
                <w:b w:val="false"/>
                <w:bCs w:val="false"/>
                <w:color w:val="000000"/>
                <w:sz w:val="19"/>
                <w:szCs w:val="19"/>
              </w:rPr>
              <w:t xml:space="preserve">Lazy scans, SQL-style group-by push-down, no per-row Python loops</w:t>
            </w:r>
          </w:p>
        </w:tc>
      </w:tr>
      <w:tr>
        <w:tc>
          <w:tcPr>
            <w:tcW w:type="dxa" w:w="1600"/>
            <w:shd w:fill="F2F2F2" w:val="clear"/>
            <w:tcMar>
              <w:top w:type="dxa" w:w="60"/>
              <w:left w:type="dxa" w:w="100"/>
              <w:bottom w:type="dxa" w:w="60"/>
              <w:right w:type="dxa" w:w="100"/>
            </w:tcMar>
            <w:vAlign w:val="center"/>
          </w:tcPr>
          <w:p>
            <w:r>
              <w:rPr>
                <w:b w:val="false"/>
                <w:bCs w:val="false"/>
                <w:color w:val="000000"/>
                <w:sz w:val="19"/>
                <w:szCs w:val="19"/>
              </w:rPr>
              <w:t xml:space="preserve">BP8 (Power BI Gold layer)</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Gold-table build script</w:t>
            </w:r>
          </w:p>
        </w:tc>
        <w:tc>
          <w:tcPr>
            <w:tcW w:type="dxa" w:w="4100"/>
            <w:shd w:fill="F2F2F2" w:val="clear"/>
            <w:tcMar>
              <w:top w:type="dxa" w:w="60"/>
              <w:left w:type="dxa" w:w="100"/>
              <w:bottom w:type="dxa" w:w="60"/>
              <w:right w:type="dxa" w:w="100"/>
            </w:tcMar>
            <w:vAlign w:val="center"/>
          </w:tcPr>
          <w:p>
            <w:r>
              <w:rPr>
                <w:b w:val="false"/>
                <w:bCs w:val="false"/>
                <w:color w:val="000000"/>
                <w:sz w:val="19"/>
                <w:szCs w:val="19"/>
              </w:rPr>
              <w:t xml:space="preserve">Vectorized Parquet/CSV writes; pre-aggregate in Python rather than relying on Power BI-side heavy transforms</w:t>
            </w:r>
          </w:p>
        </w:tc>
      </w:tr>
    </w:tbl>
    <w:p>
      <w:pPr>
        <w:spacing w:after="120" w:line="276"/>
      </w:pPr>
      <w:r>
        <w:t xml:space="preserve">Every model/component above is fit only on the training portion within each fold; validation data is transformed using the training-fitted preprocessing only — identical folds across every model in a BP's benchmark set.</w:t>
      </w:r>
    </w:p>
    <w:p>
      <w:pPr>
        <w:pStyle w:val="Heading2"/>
        <w:spacing w:after="120" w:before="240"/>
      </w:pPr>
      <w:r>
        <w:t xml:space="preserve">17.6 GPU / NPU policy</w:t>
      </w:r>
    </w:p>
    <w:p>
      <w:pPr>
        <w:pStyle w:val="ListParagraph"/>
        <w:numPr>
          <w:ilvl w:val="0"/>
          <w:numId w:val="2"/>
        </w:numPr>
        <w:spacing w:after="80" w:line="268"/>
      </w:pPr>
      <w:r>
        <w:t xml:space="preserve">Detect GPU/VRAM and NPU availability automatically at the start of the benchmark notebook — never assumed present or absent.</w:t>
      </w:r>
    </w:p>
    <w:p>
      <w:pPr>
        <w:pStyle w:val="ListParagraph"/>
        <w:numPr>
          <w:ilvl w:val="0"/>
          <w:numId w:val="2"/>
        </w:numPr>
        <w:spacing w:after="80" w:line="268"/>
      </w:pPr>
      <w:r>
        <w:t xml:space="preserve">Use GPU only when a live CPU-vs-GPU benchmark on a representative subset shows it is genuinely faster end-to-end (including data-transfer time), and only for operations the framework actually supports on this integrated Radeon 8xx (no CUDA path).</w:t>
      </w:r>
    </w:p>
    <w:p>
      <w:pPr>
        <w:pStyle w:val="ListParagraph"/>
        <w:numPr>
          <w:ilvl w:val="0"/>
          <w:numId w:val="2"/>
        </w:numPr>
        <w:spacing w:after="80" w:line="268"/>
      </w:pPr>
      <w:r>
        <w:t xml:space="preserve">Use the NPU only where a runtime genuinely supports it (e.g. an ONNX-exported model through the NPU execution provider) — never claim NPU acceleration for an algorithm class that has no NPU code path.</w:t>
      </w:r>
    </w:p>
    <w:p>
      <w:pPr>
        <w:pStyle w:val="ListParagraph"/>
        <w:numPr>
          <w:ilvl w:val="0"/>
          <w:numId w:val="2"/>
        </w:numPr>
        <w:spacing w:after="80" w:line="268"/>
      </w:pPr>
      <w:r>
        <w:t xml:space="preserve">If CPU is faster for a given component (the expected outcome for gradient-boosted trees and classical sklearn models on this hardware), automatically retain the optimized CPU configuration.</w:t>
      </w:r>
    </w:p>
    <w:p>
      <w:pPr>
        <w:pStyle w:val="Heading2"/>
        <w:spacing w:after="120" w:before="240"/>
      </w:pPr>
      <w:r>
        <w:t xml:space="preserve">17.7 Thermal &amp; stability safeguards</w:t>
      </w:r>
    </w:p>
    <w:p>
      <w:pPr>
        <w:pStyle w:val="ListParagraph"/>
        <w:numPr>
          <w:ilvl w:val="0"/>
          <w:numId w:val="2"/>
        </w:numPr>
        <w:spacing w:after="80" w:line="268"/>
      </w:pPr>
      <w:r>
        <w:t xml:space="preserve">Monitor CPU temperature/frequency where the OS/tooling exposes it; detect thermal throttling and prioritize sustained performance over a short burst.</w:t>
      </w:r>
    </w:p>
    <w:p>
      <w:pPr>
        <w:pStyle w:val="ListParagraph"/>
        <w:numPr>
          <w:ilvl w:val="0"/>
          <w:numId w:val="2"/>
        </w:numPr>
        <w:spacing w:after="80" w:line="268"/>
      </w:pPr>
      <w:r>
        <w:t xml:space="preserve">Avoid system freezing: release resources between models/BPs, continue gracefully after an individual model failure rather than halting the whole notebook, and never push CPU/RAM to 100% (15.1's 92%/95% ceilings are the hard stop).</w:t>
      </w:r>
    </w:p>
    <w:p>
      <w:pPr>
        <w:pStyle w:val="Heading2"/>
        <w:spacing w:after="120" w:before="240"/>
      </w:pPr>
      <w:r>
        <w:t xml:space="preserve">17.8 AI code-review optimization pass (standing QA step before every BP delivery)</w:t>
      </w:r>
    </w:p>
    <w:p>
      <w:pPr>
        <w:spacing w:after="120" w:line="276"/>
      </w:pPr>
      <w:r>
        <w:t xml:space="preserve">Before any BP notebook is marked Gate-6-complete, it is audited — by Claude, without executing it — against the same bottleneck checklist as the source prompt library:</w:t>
      </w:r>
    </w:p>
    <w:p>
      <w:pPr>
        <w:pStyle w:val="ListParagraph"/>
        <w:numPr>
          <w:ilvl w:val="0"/>
          <w:numId w:val="2"/>
        </w:numPr>
        <w:spacing w:after="80" w:line="268"/>
      </w:pPr>
      <w:r>
        <w:t xml:space="preserve">Unnecessary DataFrame copies; nested parallelism; excessive multiprocessing; inefficient pandas operations (prefer Polars); object dtype where category/float32 suffices; float64 where float32 is sufficient.</w:t>
      </w:r>
    </w:p>
    <w:p>
      <w:pPr>
        <w:pStyle w:val="ListParagraph"/>
        <w:numPr>
          <w:ilvl w:val="0"/>
          <w:numId w:val="2"/>
        </w:numPr>
        <w:spacing w:after="80" w:line="268"/>
      </w:pPr>
      <w:r>
        <w:t xml:space="preserve">Repeated disk reads / repeated preprocessing; unnecessary serialization; excessive memory allocation; inefficient CV; GPU transfer overhead; unnecessary model retraining; inefficient feature engineering; thermal-throttling risk.</w:t>
      </w:r>
    </w:p>
    <w:p>
      <w:pPr>
        <w:pStyle w:val="ListParagraph"/>
        <w:numPr>
          <w:ilvl w:val="0"/>
          <w:numId w:val="2"/>
        </w:numPr>
        <w:spacing w:after="80" w:line="268"/>
      </w:pPr>
      <w:r>
        <w:t xml:space="preserve">For every issue found: state the original bottleneck, the optimization applied, the expected benefit, and — once you report the real benchmark back — the actual measured benefit and memory impact. The review never changes statistical methodology or introduces leakage.</w:t>
      </w:r>
    </w:p>
    <w:p>
      <w:pPr>
        <w:pStyle w:val="Heading2"/>
        <w:spacing w:after="120" w:before="240"/>
      </w:pPr>
      <w:r>
        <w:t xml:space="preserve">17.9 Performance reporting requirement</w:t>
      </w:r>
    </w:p>
    <w:p>
      <w:pPr>
        <w:spacing w:after="120" w:line="276"/>
      </w:pPr>
      <w:r>
        <w:t xml:space="preserve">Every BP's Gate 4 notebook emits a performance report alongside its statistical results:</w:t>
      </w:r>
    </w:p>
    <w:p>
      <w:pPr>
        <w:pStyle w:val="ListParagraph"/>
        <w:numPr>
          <w:ilvl w:val="0"/>
          <w:numId w:val="2"/>
        </w:numPr>
        <w:spacing w:after="80" w:line="268"/>
      </w:pPr>
      <w:r>
        <w:t xml:space="preserve">Baseline runtime vs. optimized runtime, and the resulting speed improvement.</w:t>
      </w:r>
    </w:p>
    <w:p>
      <w:pPr>
        <w:pStyle w:val="ListParagraph"/>
        <w:numPr>
          <w:ilvl w:val="0"/>
          <w:numId w:val="2"/>
        </w:numPr>
        <w:spacing w:after="80" w:line="268"/>
      </w:pPr>
      <w:r>
        <w:t xml:space="preserve">CPU utilization/frequency, peak RAM, GPU utilization/VRAM (if used), paging events, and which hardware mode (CPU/GPU/NPU) the run actually used.</w:t>
      </w:r>
    </w:p>
    <w:p>
      <w:pPr>
        <w:pStyle w:val="ListParagraph"/>
        <w:numPr>
          <w:ilvl w:val="0"/>
          <w:numId w:val="2"/>
        </w:numPr>
        <w:spacing w:after="80" w:line="268"/>
      </w:pPr>
      <w:r>
        <w:t xml:space="preserve">A final comparison table: Model | ROC-AUC | PR-AUC | Accuracy | Precision | Recall | F1 | CV Runtime | Peak RAM | Hardware Mode — identifying the best predictive model, the fastest model, the best speed/performance tradeoff, and the most memory-efficient model.</w:t>
      </w:r>
    </w:p>
    <w:p>
      <w:pPr>
        <w:pStyle w:val="Heading2"/>
        <w:spacing w:after="120" w:before="240"/>
      </w:pPr>
      <w:r>
        <w:t xml:space="preserve">17.10 Ultra-short standing prompt (for ad-hoc optimization requests on this project)</w:t>
      </w:r>
    </w:p>
    <w:p>
      <w:pPr>
        <w:pBdr>
          <w:left w:val="single" w:color="0E7C7B" w:sz="18" w:space="8"/>
        </w:pBdr>
        <w:spacing w:after="200" w:before="100"/>
        <w:ind w:left="200"/>
      </w:pPr>
      <w:r>
        <w:rPr>
          <w:i/>
          <w:iCs/>
          <w:color w:val="1F3864"/>
        </w:rPr>
        <w:t xml:space="preserve">“Optimize this pipeline for maximum useful throughput and minimum wall-clock time on my AMD Ryzen AI 7 350 / 16-thread / 32 GB DDR5 laptop, per Section 17 of the Customer360 Navigator Master Execution Plan (WARP standard). Benchmark before assuming; report peak RAM, CPU/GPU/NPU utilization, and speed improvement; never optimize for 100% CPU or RAM.”</w:t>
      </w:r>
    </w:p>
    <w:p>
      <w:r>
        <w:br w:type="page"/>
      </w:r>
    </w:p>
    <w:p>
      <w:pPr>
        <w:pStyle w:val="Heading1"/>
        <w:spacing w:after="160" w:before="360"/>
      </w:pPr>
      <w:r>
        <w:t xml:space="preserve">18. Production-Style Scope &amp; Repository Architecture</w:t>
      </w:r>
    </w:p>
    <w:p>
      <w:pPr>
        <w:pStyle w:val="Heading2"/>
        <w:spacing w:after="120" w:before="240"/>
      </w:pPr>
      <w:r>
        <w:t xml:space="preserve">18.1 Production-style scope</w:t>
      </w:r>
    </w:p>
    <w:p>
      <w:pPr>
        <w:pStyle w:val="ListParagraph"/>
        <w:numPr>
          <w:ilvl w:val="0"/>
          <w:numId w:val="2"/>
        </w:numPr>
        <w:spacing w:after="80" w:line="268"/>
      </w:pPr>
      <w:r>
        <w:t xml:space="preserve">Keep notebooks for orchestration and evidence; move reusable logic into src/ modules (HYPER).</w:t>
      </w:r>
    </w:p>
    <w:p>
      <w:pPr>
        <w:pStyle w:val="ListParagraph"/>
        <w:numPr>
          <w:ilvl w:val="0"/>
          <w:numId w:val="2"/>
        </w:numPr>
        <w:spacing w:after="80" w:line="268"/>
      </w:pPr>
      <w:r>
        <w:t xml:space="preserve">Use configuration files, logging, validation tests, deterministic seeds where applicable, and versioned datasets.</w:t>
      </w:r>
    </w:p>
    <w:p>
      <w:pPr>
        <w:pStyle w:val="ListParagraph"/>
        <w:numPr>
          <w:ilvl w:val="0"/>
          <w:numId w:val="2"/>
        </w:numPr>
        <w:spacing w:after="80" w:line="268"/>
      </w:pPr>
      <w:r>
        <w:t xml:space="preserve">Optional FastAPI + Docker + MLflow for a portfolio-grade service layer; do not claim production deployment unless actually deployed.</w:t>
      </w:r>
    </w:p>
    <w:p>
      <w:pPr>
        <w:pStyle w:val="ListParagraph"/>
        <w:numPr>
          <w:ilvl w:val="0"/>
          <w:numId w:val="2"/>
        </w:numPr>
        <w:spacing w:after="80" w:line="268"/>
      </w:pPr>
      <w:r>
        <w:t xml:space="preserve">Track model/data versions, evaluation results, lineage and known limitations.</w:t>
      </w:r>
    </w:p>
    <w:p>
      <w:pPr>
        <w:pStyle w:val="ListParagraph"/>
        <w:numPr>
          <w:ilvl w:val="0"/>
          <w:numId w:val="2"/>
        </w:numPr>
        <w:spacing w:after="80" w:line="268"/>
      </w:pPr>
      <w:r>
        <w:t xml:space="preserve">Per-BP governance set, required before Gate 6 sign-off: MODEL_CARD.md, CHANGELOG.md, and — for BP6/BP7 — a runnable FastAPI service with a live self-test proving API output matches direct computation.</w:t>
      </w:r>
    </w:p>
    <w:p>
      <w:pPr>
        <w:pStyle w:val="Heading2"/>
        <w:spacing w:after="120" w:before="240"/>
      </w:pPr>
      <w:r>
        <w:t xml:space="preserve">18.2 GitHub structure</w:t>
      </w:r>
    </w:p>
    <w:p>
      <w:pPr>
        <w:spacing w:after="120" w:line="276"/>
      </w:pPr>
      <w:r>
        <w:rPr>
          <w:rFonts w:ascii="Consolas" w:cs="Consolas" w:eastAsia="Consolas" w:hAnsi="Consolas"/>
          <w:sz w:val="18"/>
          <w:szCs w:val="18"/>
        </w:rPr>
        <w:t xml:space="preserve">project/</w:t>
      </w:r>
    </w:p>
    <w:p>
      <w:pPr>
        <w:spacing w:after="120" w:line="276"/>
      </w:pPr>
      <w:r>
        <w:rPr>
          <w:rFonts w:ascii="Consolas" w:cs="Consolas" w:eastAsia="Consolas" w:hAnsi="Consolas"/>
          <w:sz w:val="18"/>
          <w:szCs w:val="18"/>
        </w:rPr>
        <w:t xml:space="preserve">├── README.md</w:t>
      </w:r>
    </w:p>
    <w:p>
      <w:pPr>
        <w:spacing w:after="120" w:line="276"/>
      </w:pPr>
      <w:r>
        <w:rPr>
          <w:rFonts w:ascii="Consolas" w:cs="Consolas" w:eastAsia="Consolas" w:hAnsi="Consolas"/>
          <w:sz w:val="18"/>
          <w:szCs w:val="18"/>
        </w:rPr>
        <w:t xml:space="preserve">├── docs/ (BRD, FRD, RTM, architecture, data dictionary, Evidence Ledger)</w:t>
      </w:r>
    </w:p>
    <w:p>
      <w:pPr>
        <w:spacing w:after="120" w:line="276"/>
      </w:pPr>
      <w:r>
        <w:rPr>
          <w:rFonts w:ascii="Consolas" w:cs="Consolas" w:eastAsia="Consolas" w:hAnsi="Consolas"/>
          <w:sz w:val="18"/>
          <w:szCs w:val="18"/>
        </w:rPr>
        <w:t xml:space="preserve">├── data/ (references/metadata only; respect source licensing; raw data gitignored)</w:t>
      </w:r>
    </w:p>
    <w:p>
      <w:pPr>
        <w:spacing w:after="120" w:line="276"/>
      </w:pPr>
      <w:r>
        <w:rPr>
          <w:rFonts w:ascii="Consolas" w:cs="Consolas" w:eastAsia="Consolas" w:hAnsi="Consolas"/>
          <w:sz w:val="18"/>
          <w:szCs w:val="18"/>
        </w:rPr>
        <w:t xml:space="preserve">├── notebooks/ (00_hardware_benchmark.ipynb + one BP1–BP8 notebook set)</w:t>
      </w:r>
    </w:p>
    <w:p>
      <w:pPr>
        <w:spacing w:after="120" w:line="276"/>
      </w:pPr>
      <w:r>
        <w:rPr>
          <w:rFonts w:ascii="Consolas" w:cs="Consolas" w:eastAsia="Consolas" w:hAnsi="Consolas"/>
          <w:sz w:val="18"/>
          <w:szCs w:val="18"/>
        </w:rPr>
        <w:t xml:space="preserve">├── src/{taxonomy,features,models,reporting,utils}/ (shared library, HYPER)</w:t>
      </w:r>
    </w:p>
    <w:p>
      <w:pPr>
        <w:spacing w:after="120" w:line="276"/>
      </w:pPr>
      <w:r>
        <w:rPr>
          <w:rFonts w:ascii="Consolas" w:cs="Consolas" w:eastAsia="Consolas" w:hAnsi="Consolas"/>
          <w:sz w:val="18"/>
          <w:szCs w:val="18"/>
        </w:rPr>
        <w:t xml:space="preserve">├── tests/ (pytest, per-BP coverage)</w:t>
      </w:r>
    </w:p>
    <w:p>
      <w:pPr>
        <w:spacing w:after="120" w:line="276"/>
      </w:pPr>
      <w:r>
        <w:rPr>
          <w:rFonts w:ascii="Consolas" w:cs="Consolas" w:eastAsia="Consolas" w:hAnsi="Consolas"/>
          <w:sz w:val="18"/>
          <w:szCs w:val="18"/>
        </w:rPr>
        <w:t xml:space="preserve">├── models/</w:t>
      </w:r>
    </w:p>
    <w:p>
      <w:pPr>
        <w:spacing w:after="120" w:line="276"/>
      </w:pPr>
      <w:r>
        <w:rPr>
          <w:rFonts w:ascii="Consolas" w:cs="Consolas" w:eastAsia="Consolas" w:hAnsi="Consolas"/>
          <w:sz w:val="18"/>
          <w:szCs w:val="18"/>
        </w:rPr>
        <w:t xml:space="preserve">├── reports/ (per-BP MODEL_CARD.md, CHANGELOG.md)</w:t>
      </w:r>
    </w:p>
    <w:p>
      <w:pPr>
        <w:spacing w:after="120" w:line="276"/>
      </w:pPr>
      <w:r>
        <w:rPr>
          <w:rFonts w:ascii="Consolas" w:cs="Consolas" w:eastAsia="Consolas" w:hAnsi="Consolas"/>
          <w:sz w:val="18"/>
          <w:szCs w:val="18"/>
        </w:rPr>
        <w:t xml:space="preserve">├── powerbi/ (Gold tables + .pbix)</w:t>
      </w:r>
    </w:p>
    <w:p>
      <w:pPr>
        <w:spacing w:after="120" w:line="276"/>
      </w:pPr>
      <w:r>
        <w:rPr>
          <w:rFonts w:ascii="Consolas" w:cs="Consolas" w:eastAsia="Consolas" w:hAnsi="Consolas"/>
          <w:sz w:val="18"/>
          <w:szCs w:val="18"/>
        </w:rPr>
        <w:t xml:space="preserve">├── configs/ (per-BP YAML, resource_limits block)</w:t>
      </w:r>
    </w:p>
    <w:p>
      <w:pPr>
        <w:spacing w:after="120" w:line="276"/>
      </w:pPr>
      <w:r>
        <w:rPr>
          <w:rFonts w:ascii="Consolas" w:cs="Consolas" w:eastAsia="Consolas" w:hAnsi="Consolas"/>
          <w:sz w:val="18"/>
          <w:szCs w:val="18"/>
        </w:rPr>
        <w:t xml:space="preserve">├── .github/workflows/ (CI: lint, test, notebook-syntax-check, pre-commit)</w:t>
      </w:r>
    </w:p>
    <w:p>
      <w:pPr>
        <w:spacing w:after="120" w:line="276"/>
      </w:pPr>
      <w:r>
        <w:rPr>
          <w:rFonts w:ascii="Consolas" w:cs="Consolas" w:eastAsia="Consolas" w:hAnsi="Consolas"/>
          <w:sz w:val="18"/>
          <w:szCs w:val="18"/>
        </w:rPr>
        <w:t xml:space="preserve">└── requirements.txt</w:t>
      </w:r>
    </w:p>
    <w:p>
      <w:pPr>
        <w:pStyle w:val="Heading1"/>
        <w:spacing w:after="160" w:before="360"/>
      </w:pPr>
      <w:r>
        <w:t xml:space="preserve">19. Power BI / Decision Intelligence</w:t>
      </w:r>
    </w:p>
    <w:p>
      <w:pPr>
        <w:pStyle w:val="ListParagraph"/>
        <w:numPr>
          <w:ilvl w:val="0"/>
          <w:numId w:val="2"/>
        </w:numPr>
        <w:spacing w:after="80" w:line="268"/>
      </w:pPr>
      <w:r>
        <w:t xml:space="preserve">Build Gold/semantic tables in Python, Parquet/CSV or SQL-ready form; create the interactive .pbix in Power BI Desktop.</w:t>
      </w:r>
    </w:p>
    <w:p>
      <w:pPr>
        <w:pStyle w:val="ListParagraph"/>
        <w:numPr>
          <w:ilvl w:val="0"/>
          <w:numId w:val="2"/>
        </w:numPr>
        <w:spacing w:after="80" w:line="268"/>
      </w:pPr>
      <w:r>
        <w:t xml:space="preserve">Prioritize decision KPIs, drill-through, segmentation, trends and evidence over decorative visuals.</w:t>
      </w:r>
    </w:p>
    <w:p>
      <w:pPr>
        <w:pStyle w:val="Heading1"/>
        <w:spacing w:after="160" w:before="360"/>
      </w:pPr>
      <w:r>
        <w:t xml:space="preserve">20. Financial-Impact Reporting Convention (optional layer)</w:t>
      </w:r>
    </w:p>
    <w:p>
      <w:pPr>
        <w:spacing w:after="120" w:line="276"/>
      </w:pPr>
      <w:r>
        <w:t xml:space="preserve">BP8's Power BI layer is this suite's required executive decision layer. As an optional enhancement — not required core scope — any BP that produces a defensible dollar-impact figure may additionally package a recruiter-facing Word report + Excel workbook + standalone HTML dashboard, reusing the reporting template already proven on AMEX/Home Credit. Trigger this layer explicitly per-BP; it is not assumed for all eight. See Section 28 for the open decision on whether this layer is wanted.</w:t>
      </w:r>
    </w:p>
    <w:p>
      <w:pPr>
        <w:pBdr>
          <w:left w:val="single" w:color="0E7C7B" w:sz="18" w:space="8"/>
        </w:pBdr>
        <w:spacing w:after="200" w:before="100"/>
        <w:ind w:left="200"/>
      </w:pPr>
      <w:r>
        <w:rPr>
          <w:i/>
          <w:iCs/>
          <w:color w:val="1F3864"/>
        </w:rPr>
        <w:t xml:space="preserve">Standing rule: always express dollar figures in billions/millions shorthand (e.g. “$5.04B”, “$429.9M”) alongside the full figure, in both chat and any written deliverable — never a bare large dollar value.</w:t>
      </w:r>
    </w:p>
    <w:p>
      <w:pPr>
        <w:pStyle w:val="Heading1"/>
        <w:spacing w:after="160" w:before="360"/>
      </w:pPr>
      <w:r>
        <w:t xml:space="preserve">21. Deliverables</w:t>
      </w:r>
    </w:p>
    <w:p>
      <w:pPr>
        <w:pStyle w:val="ListParagraph"/>
        <w:numPr>
          <w:ilvl w:val="0"/>
          <w:numId w:val="2"/>
        </w:numPr>
        <w:spacing w:after="80" w:line="268"/>
      </w:pPr>
      <w:r>
        <w:t xml:space="preserve">Full Jupyter analytical workflow for all 8 BPs, plus the 00_hardware_benchmark.ipynb utility.</w:t>
      </w:r>
    </w:p>
    <w:p>
      <w:pPr>
        <w:pStyle w:val="ListParagraph"/>
        <w:numPr>
          <w:ilvl w:val="0"/>
          <w:numId w:val="2"/>
        </w:numPr>
        <w:spacing w:after="80" w:line="268"/>
      </w:pPr>
      <w:r>
        <w:t xml:space="preserve">CFPB + BANKING77 data dictionary and taxonomy mapping.</w:t>
      </w:r>
    </w:p>
    <w:p>
      <w:pPr>
        <w:pStyle w:val="ListParagraph"/>
        <w:numPr>
          <w:ilvl w:val="0"/>
          <w:numId w:val="2"/>
        </w:numPr>
        <w:spacing w:after="80" w:line="268"/>
      </w:pPr>
      <w:r>
        <w:t xml:space="preserve">BRD/FRD/user stories/RTM/process flows.</w:t>
      </w:r>
    </w:p>
    <w:p>
      <w:pPr>
        <w:pStyle w:val="ListParagraph"/>
        <w:numPr>
          <w:ilvl w:val="0"/>
          <w:numId w:val="2"/>
        </w:numPr>
        <w:spacing w:after="80" w:line="268"/>
      </w:pPr>
      <w:r>
        <w:t xml:space="preserve">Model evaluation and explainability reports, including the per-BP performance report.</w:t>
      </w:r>
    </w:p>
    <w:p>
      <w:pPr>
        <w:pStyle w:val="ListParagraph"/>
        <w:numPr>
          <w:ilvl w:val="0"/>
          <w:numId w:val="2"/>
        </w:numPr>
        <w:spacing w:after="80" w:line="268"/>
      </w:pPr>
      <w:r>
        <w:t xml:space="preserve">Grounded GenAI prototype (BP6).</w:t>
      </w:r>
    </w:p>
    <w:p>
      <w:pPr>
        <w:pStyle w:val="ListParagraph"/>
        <w:numPr>
          <w:ilvl w:val="0"/>
          <w:numId w:val="2"/>
        </w:numPr>
        <w:spacing w:after="80" w:line="268"/>
      </w:pPr>
      <w:r>
        <w:t xml:space="preserve">Power BI-ready Gold tables and dashboard specification.</w:t>
      </w:r>
    </w:p>
    <w:p>
      <w:pPr>
        <w:pStyle w:val="ListParagraph"/>
        <w:numPr>
          <w:ilvl w:val="0"/>
          <w:numId w:val="2"/>
        </w:numPr>
        <w:spacing w:after="80" w:line="268"/>
      </w:pPr>
      <w:r>
        <w:t xml:space="preserve">README with provenance, reproducibility and limitations.</w:t>
      </w:r>
    </w:p>
    <w:p>
      <w:pPr>
        <w:pStyle w:val="ListParagraph"/>
        <w:numPr>
          <w:ilvl w:val="0"/>
          <w:numId w:val="2"/>
        </w:numPr>
        <w:spacing w:after="80" w:line="268"/>
      </w:pPr>
      <w:r>
        <w:t xml:space="preserve">Evidence Ledger (Section 24), MODEL_CARD.md and CHANGELOG.md per BP, plus the model inventory (Section 9).</w:t>
      </w:r>
    </w:p>
    <w:p>
      <w:pPr>
        <w:pStyle w:val="Heading1"/>
        <w:spacing w:after="160" w:before="360"/>
      </w:pPr>
      <w:r>
        <w:t xml:space="preserve">22. Packaging Plan — GitHub, Portfolio &amp; LinkedIn</w:t>
      </w:r>
    </w:p>
    <w:p>
      <w:pPr>
        <w:pStyle w:val="Heading2"/>
        <w:spacing w:after="120" w:before="240"/>
      </w:pPr>
      <w:r>
        <w:t xml:space="preserve">22.1 GitHub</w:t>
      </w:r>
    </w:p>
    <w:p>
      <w:pPr>
        <w:pStyle w:val="ListParagraph"/>
        <w:numPr>
          <w:ilvl w:val="0"/>
          <w:numId w:val="2"/>
        </w:numPr>
        <w:spacing w:after="80" w:line="268"/>
      </w:pPr>
      <w:r>
        <w:t xml:space="preserve">Single monorepo, pushed using the AMEX/Home Credit-proven workaround (Gap Register #3): commit inside the cloud container's own filesystem — never inside a device-mounted/fuseblk folder — then create the repo and push from the device's own local disk, using a PAT verified to carry the ‘repo’ scope.</w:t>
      </w:r>
    </w:p>
    <w:p>
      <w:pPr>
        <w:pStyle w:val="ListParagraph"/>
        <w:numPr>
          <w:ilvl w:val="0"/>
          <w:numId w:val="2"/>
        </w:numPr>
        <w:spacing w:after="80" w:line="268"/>
      </w:pPr>
      <w:r>
        <w:t xml:space="preserve">CI badge, MODEL_CARD.md per BP, root README with the real architecture and only real, sourced metrics — no unverified value/salary claims.</w:t>
      </w:r>
    </w:p>
    <w:p>
      <w:pPr>
        <w:pStyle w:val="Heading2"/>
        <w:spacing w:after="120" w:before="240"/>
      </w:pPr>
      <w:r>
        <w:t xml:space="preserve">22.2 Kaggle / Hugging Face</w:t>
      </w:r>
    </w:p>
    <w:p>
      <w:pPr>
        <w:pStyle w:val="ListParagraph"/>
        <w:numPr>
          <w:ilvl w:val="0"/>
          <w:numId w:val="2"/>
        </w:numPr>
        <w:spacing w:after="80" w:line="268"/>
      </w:pPr>
      <w:r>
        <w:t xml:space="preserve">[FLAG] Unlike AMEX and Home Credit, this suite is not built from a Kaggle competition dataset — CFPB is a public government dataset and BANKING77 is hosted on Hugging Face. A Kaggle-notebook publication step is not directly applicable; consider a Hugging Face Space demo for BP6's GenAI assistant instead if a public-facing demo is wanted. Confirm with the user before committing to this as a deliverable.</w:t>
      </w:r>
    </w:p>
    <w:p>
      <w:pPr>
        <w:pStyle w:val="Heading2"/>
        <w:spacing w:after="120" w:before="240"/>
      </w:pPr>
      <w:r>
        <w:t xml:space="preserve">22.3 LinkedIn</w:t>
      </w:r>
    </w:p>
    <w:p>
      <w:pPr>
        <w:pStyle w:val="ListParagraph"/>
        <w:numPr>
          <w:ilvl w:val="0"/>
          <w:numId w:val="2"/>
        </w:numPr>
        <w:spacing w:after="80" w:line="268"/>
      </w:pPr>
      <w:r>
        <w:t xml:space="preserve">Project summary posts reference only Evidence-Ledger-confirmed results; every figure traceable back to a specific notebook run.</w:t>
      </w:r>
    </w:p>
    <w:p>
      <w:pPr>
        <w:pStyle w:val="Heading1"/>
        <w:spacing w:after="160" w:before="360"/>
      </w:pPr>
      <w:r>
        <w:t xml:space="preserve">23. Agile Sprint Plan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900"/>
        <w:gridCol w:w="2600"/>
      </w:tblGrid>
      <w:tr>
        <w:trPr>
          <w:tblHeader/>
        </w:trPr>
        <w:tc>
          <w:tcPr>
            <w:tcW w:type="dxa" w:w="700"/>
            <w:shd w:fill="1F3864" w:val="clear"/>
            <w:tcMar>
              <w:top w:type="dxa" w:w="60"/>
              <w:left w:type="dxa" w:w="100"/>
              <w:bottom w:type="dxa" w:w="60"/>
              <w:right w:type="dxa" w:w="100"/>
            </w:tcMar>
            <w:vAlign w:val="center"/>
          </w:tcPr>
          <w:p>
            <w:r>
              <w:rPr>
                <w:b/>
                <w:bCs/>
                <w:color w:val="FFFFFF"/>
                <w:sz w:val="19"/>
                <w:szCs w:val="19"/>
              </w:rPr>
              <w:t xml:space="preserve">Sprint</w:t>
            </w:r>
          </w:p>
        </w:tc>
        <w:tc>
          <w:tcPr>
            <w:tcW w:type="dxa" w:w="2900"/>
            <w:shd w:fill="1F3864" w:val="clear"/>
            <w:tcMar>
              <w:top w:type="dxa" w:w="60"/>
              <w:left w:type="dxa" w:w="100"/>
              <w:bottom w:type="dxa" w:w="60"/>
              <w:right w:type="dxa" w:w="100"/>
            </w:tcMar>
            <w:vAlign w:val="center"/>
          </w:tcPr>
          <w:p>
            <w:r>
              <w:rPr>
                <w:b/>
                <w:bCs/>
                <w:color w:val="FFFFFF"/>
                <w:sz w:val="19"/>
                <w:szCs w:val="19"/>
              </w:rPr>
              <w:t xml:space="preserve">Focus</w:t>
            </w:r>
          </w:p>
        </w:tc>
        <w:tc>
          <w:tcPr>
            <w:tcW w:type="dxa" w:w="2900"/>
            <w:shd w:fill="1F3864" w:val="clear"/>
            <w:tcMar>
              <w:top w:type="dxa" w:w="60"/>
              <w:left w:type="dxa" w:w="100"/>
              <w:bottom w:type="dxa" w:w="60"/>
              <w:right w:type="dxa" w:w="100"/>
            </w:tcMar>
            <w:vAlign w:val="center"/>
          </w:tcPr>
          <w:p>
            <w:r>
              <w:rPr>
                <w:b/>
                <w:bCs/>
                <w:color w:val="FFFFFF"/>
                <w:sz w:val="19"/>
                <w:szCs w:val="19"/>
              </w:rPr>
              <w:t xml:space="preserve">CRISP-DM phase reached</w:t>
            </w:r>
          </w:p>
        </w:tc>
        <w:tc>
          <w:tcPr>
            <w:tcW w:type="dxa" w:w="2600"/>
            <w:shd w:fill="1F3864" w:val="clear"/>
            <w:tcMar>
              <w:top w:type="dxa" w:w="60"/>
              <w:left w:type="dxa" w:w="100"/>
              <w:bottom w:type="dxa" w:w="60"/>
              <w:right w:type="dxa" w:w="100"/>
            </w:tcMar>
            <w:vAlign w:val="center"/>
          </w:tcPr>
          <w:p>
            <w:r>
              <w:rPr>
                <w:b/>
                <w:bCs/>
                <w:color w:val="FFFFFF"/>
                <w:sz w:val="19"/>
                <w:szCs w:val="19"/>
              </w:rPr>
              <w:t xml:space="preserve">Exit criterion</w:t>
            </w:r>
          </w:p>
        </w:tc>
      </w:tr>
      <w:tr>
        <w:tc>
          <w:tcPr>
            <w:tcW w:type="dxa" w:w="700"/>
            <w:tcMar>
              <w:top w:type="dxa" w:w="60"/>
              <w:left w:type="dxa" w:w="100"/>
              <w:bottom w:type="dxa" w:w="60"/>
              <w:right w:type="dxa" w:w="100"/>
            </w:tcMar>
            <w:vAlign w:val="center"/>
          </w:tcPr>
          <w:p>
            <w:r>
              <w:rPr>
                <w:b w:val="false"/>
                <w:bCs w:val="false"/>
                <w:color w:val="000000"/>
                <w:sz w:val="19"/>
                <w:szCs w:val="19"/>
              </w:rPr>
              <w:t xml:space="preserve">1</w:t>
            </w:r>
          </w:p>
        </w:tc>
        <w:tc>
          <w:tcPr>
            <w:tcW w:type="dxa" w:w="2900"/>
            <w:tcMar>
              <w:top w:type="dxa" w:w="60"/>
              <w:left w:type="dxa" w:w="100"/>
              <w:bottom w:type="dxa" w:w="60"/>
              <w:right w:type="dxa" w:w="100"/>
            </w:tcMar>
            <w:vAlign w:val="center"/>
          </w:tcPr>
          <w:p>
            <w:r>
              <w:rPr>
                <w:b w:val="false"/>
                <w:bCs w:val="false"/>
                <w:color w:val="000000"/>
                <w:sz w:val="19"/>
                <w:szCs w:val="19"/>
              </w:rPr>
              <w:t xml:space="preserve">Data acquisition/profiling + BRD; hardware benchmark (00_hardware_benchmark.ipynb); src/ scaffolded</w:t>
            </w:r>
          </w:p>
        </w:tc>
        <w:tc>
          <w:tcPr>
            <w:tcW w:type="dxa" w:w="2900"/>
            <w:tcMar>
              <w:top w:type="dxa" w:w="60"/>
              <w:left w:type="dxa" w:w="100"/>
              <w:bottom w:type="dxa" w:w="60"/>
              <w:right w:type="dxa" w:w="100"/>
            </w:tcMar>
            <w:vAlign w:val="center"/>
          </w:tcPr>
          <w:p>
            <w:r>
              <w:rPr>
                <w:b w:val="false"/>
                <w:bCs w:val="false"/>
                <w:color w:val="000000"/>
                <w:sz w:val="19"/>
                <w:szCs w:val="19"/>
              </w:rPr>
              <w:t xml:space="preserve">Business Understanding, Data Understanding begins</w:t>
            </w:r>
          </w:p>
        </w:tc>
        <w:tc>
          <w:tcPr>
            <w:tcW w:type="dxa" w:w="2600"/>
            <w:tcMar>
              <w:top w:type="dxa" w:w="60"/>
              <w:left w:type="dxa" w:w="100"/>
              <w:bottom w:type="dxa" w:w="60"/>
              <w:right w:type="dxa" w:w="100"/>
            </w:tcMar>
            <w:vAlign w:val="center"/>
          </w:tcPr>
          <w:p>
            <w:r>
              <w:rPr>
                <w:b w:val="false"/>
                <w:bCs w:val="false"/>
                <w:color w:val="000000"/>
                <w:sz w:val="19"/>
                <w:szCs w:val="19"/>
              </w:rPr>
              <w:t xml:space="preserve">Validated inventory, requirements, and confirmed hardware benchmark configuration</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2</w:t>
            </w:r>
          </w:p>
        </w:tc>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CFPB cleaning + BANKING77 taxonomy</w:t>
            </w:r>
          </w:p>
        </w:tc>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Data Understanding → Data Preparation</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Silver data + taxonomy mapping table</w:t>
            </w:r>
          </w:p>
        </w:tc>
      </w:tr>
      <w:tr>
        <w:tc>
          <w:tcPr>
            <w:tcW w:type="dxa" w:w="700"/>
            <w:tcMar>
              <w:top w:type="dxa" w:w="60"/>
              <w:left w:type="dxa" w:w="100"/>
              <w:bottom w:type="dxa" w:w="60"/>
              <w:right w:type="dxa" w:w="100"/>
            </w:tcMar>
            <w:vAlign w:val="center"/>
          </w:tcPr>
          <w:p>
            <w:r>
              <w:rPr>
                <w:b w:val="false"/>
                <w:bCs w:val="false"/>
                <w:color w:val="000000"/>
                <w:sz w:val="19"/>
                <w:szCs w:val="19"/>
              </w:rPr>
              <w:t xml:space="preserve">3</w:t>
            </w:r>
          </w:p>
        </w:tc>
        <w:tc>
          <w:tcPr>
            <w:tcW w:type="dxa" w:w="2900"/>
            <w:tcMar>
              <w:top w:type="dxa" w:w="60"/>
              <w:left w:type="dxa" w:w="100"/>
              <w:bottom w:type="dxa" w:w="60"/>
              <w:right w:type="dxa" w:w="100"/>
            </w:tcMar>
            <w:vAlign w:val="center"/>
          </w:tcPr>
          <w:p>
            <w:r>
              <w:rPr>
                <w:b w:val="false"/>
                <w:bCs w:val="false"/>
                <w:color w:val="000000"/>
                <w:sz w:val="19"/>
                <w:szCs w:val="19"/>
              </w:rPr>
              <w:t xml:space="preserve">BP1–BP3</w:t>
            </w:r>
          </w:p>
        </w:tc>
        <w:tc>
          <w:tcPr>
            <w:tcW w:type="dxa" w:w="2900"/>
            <w:tcMar>
              <w:top w:type="dxa" w:w="60"/>
              <w:left w:type="dxa" w:w="100"/>
              <w:bottom w:type="dxa" w:w="60"/>
              <w:right w:type="dxa" w:w="100"/>
            </w:tcMar>
            <w:vAlign w:val="center"/>
          </w:tcPr>
          <w:p>
            <w:r>
              <w:rPr>
                <w:b w:val="false"/>
                <w:bCs w:val="false"/>
                <w:color w:val="000000"/>
                <w:sz w:val="19"/>
                <w:szCs w:val="19"/>
              </w:rPr>
              <w:t xml:space="preserve">Data Preparation → Modeling → Evaluation</w:t>
            </w:r>
          </w:p>
        </w:tc>
        <w:tc>
          <w:tcPr>
            <w:tcW w:type="dxa" w:w="2600"/>
            <w:tcMar>
              <w:top w:type="dxa" w:w="60"/>
              <w:left w:type="dxa" w:w="100"/>
              <w:bottom w:type="dxa" w:w="60"/>
              <w:right w:type="dxa" w:w="100"/>
            </w:tcMar>
            <w:vAlign w:val="center"/>
          </w:tcPr>
          <w:p>
            <w:r>
              <w:rPr>
                <w:b w:val="false"/>
                <w:bCs w:val="false"/>
                <w:color w:val="000000"/>
                <w:sz w:val="19"/>
                <w:szCs w:val="19"/>
              </w:rPr>
              <w:t xml:space="preserve">Baselines, evaluation and leakage report for BP1–BP3</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4</w:t>
            </w:r>
          </w:p>
        </w:tc>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BP4–BP5</w:t>
            </w:r>
          </w:p>
        </w:tc>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Modeling → Evaluation</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Journey/root-cause evidence</w:t>
            </w:r>
          </w:p>
        </w:tc>
      </w:tr>
      <w:tr>
        <w:tc>
          <w:tcPr>
            <w:tcW w:type="dxa" w:w="700"/>
            <w:tcMar>
              <w:top w:type="dxa" w:w="60"/>
              <w:left w:type="dxa" w:w="100"/>
              <w:bottom w:type="dxa" w:w="60"/>
              <w:right w:type="dxa" w:w="100"/>
            </w:tcMar>
            <w:vAlign w:val="center"/>
          </w:tcPr>
          <w:p>
            <w:r>
              <w:rPr>
                <w:b w:val="false"/>
                <w:bCs w:val="false"/>
                <w:color w:val="000000"/>
                <w:sz w:val="19"/>
                <w:szCs w:val="19"/>
              </w:rPr>
              <w:t xml:space="preserve">5</w:t>
            </w:r>
          </w:p>
        </w:tc>
        <w:tc>
          <w:tcPr>
            <w:tcW w:type="dxa" w:w="2900"/>
            <w:tcMar>
              <w:top w:type="dxa" w:w="60"/>
              <w:left w:type="dxa" w:w="100"/>
              <w:bottom w:type="dxa" w:w="60"/>
              <w:right w:type="dxa" w:w="100"/>
            </w:tcMar>
            <w:vAlign w:val="center"/>
          </w:tcPr>
          <w:p>
            <w:r>
              <w:rPr>
                <w:b w:val="false"/>
                <w:bCs w:val="false"/>
                <w:color w:val="000000"/>
                <w:sz w:val="19"/>
                <w:szCs w:val="19"/>
              </w:rPr>
              <w:t xml:space="preserve">BP6–BP7</w:t>
            </w:r>
          </w:p>
        </w:tc>
        <w:tc>
          <w:tcPr>
            <w:tcW w:type="dxa" w:w="2900"/>
            <w:tcMar>
              <w:top w:type="dxa" w:w="60"/>
              <w:left w:type="dxa" w:w="100"/>
              <w:bottom w:type="dxa" w:w="60"/>
              <w:right w:type="dxa" w:w="100"/>
            </w:tcMar>
            <w:vAlign w:val="center"/>
          </w:tcPr>
          <w:p>
            <w:r>
              <w:rPr>
                <w:b w:val="false"/>
                <w:bCs w:val="false"/>
                <w:color w:val="000000"/>
                <w:sz w:val="19"/>
                <w:szCs w:val="19"/>
              </w:rPr>
              <w:t xml:space="preserve">Evaluation → Deployment (Gates 5–6 begin)</w:t>
            </w:r>
          </w:p>
        </w:tc>
        <w:tc>
          <w:tcPr>
            <w:tcW w:type="dxa" w:w="2600"/>
            <w:tcMar>
              <w:top w:type="dxa" w:w="60"/>
              <w:left w:type="dxa" w:w="100"/>
              <w:bottom w:type="dxa" w:w="60"/>
              <w:right w:type="dxa" w:w="100"/>
            </w:tcMar>
            <w:vAlign w:val="center"/>
          </w:tcPr>
          <w:p>
            <w:r>
              <w:rPr>
                <w:b w:val="false"/>
                <w:bCs w:val="false"/>
                <w:color w:val="000000"/>
                <w:sz w:val="19"/>
                <w:szCs w:val="19"/>
              </w:rPr>
              <w:t xml:space="preserve">Grounded GenAI + decision engine</w:t>
            </w:r>
          </w:p>
        </w:tc>
      </w:tr>
      <w:tr>
        <w:tc>
          <w:tcPr>
            <w:tcW w:type="dxa" w:w="700"/>
            <w:shd w:fill="F2F2F2" w:val="clear"/>
            <w:tcMar>
              <w:top w:type="dxa" w:w="60"/>
              <w:left w:type="dxa" w:w="100"/>
              <w:bottom w:type="dxa" w:w="60"/>
              <w:right w:type="dxa" w:w="100"/>
            </w:tcMar>
            <w:vAlign w:val="center"/>
          </w:tcPr>
          <w:p>
            <w:r>
              <w:rPr>
                <w:b w:val="false"/>
                <w:bCs w:val="false"/>
                <w:color w:val="000000"/>
                <w:sz w:val="19"/>
                <w:szCs w:val="19"/>
              </w:rPr>
              <w:t xml:space="preserve">6</w:t>
            </w:r>
          </w:p>
        </w:tc>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BP8 + Power BI + final governance</w:t>
            </w:r>
          </w:p>
        </w:tc>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Deployment complete</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Dashboard, RTM, QA and release; every BP has an Evidence Ledger row</w:t>
            </w:r>
          </w:p>
        </w:tc>
      </w:tr>
    </w:tbl>
    <w:p>
      <w:pPr>
        <w:pStyle w:val="Heading1"/>
        <w:spacing w:after="160" w:before="360"/>
      </w:pPr>
      <w:r>
        <w:t xml:space="preserve">24. Evidence Ledger — Status Tracking Template</w:t>
      </w:r>
    </w:p>
    <w:p>
      <w:pPr>
        <w:spacing w:after="120" w:line="276"/>
      </w:pPr>
      <w:r>
        <w:t xml:space="preserve">This table is the single source of truth for suite completion status (Gap Register #6 refinement). No BP is marked complete anywhere else — slide, README, or conversation — without a row here. Populate as each BP clears Gate 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200"/>
        <w:gridCol w:w="2200"/>
      </w:tblGrid>
      <w:tr>
        <w:trPr>
          <w:tblHeader/>
        </w:trPr>
        <w:tc>
          <w:tcPr>
            <w:tcW w:type="dxa" w:w="900"/>
            <w:shd w:fill="1F3864" w:val="clear"/>
            <w:tcMar>
              <w:top w:type="dxa" w:w="60"/>
              <w:left w:type="dxa" w:w="100"/>
              <w:bottom w:type="dxa" w:w="60"/>
              <w:right w:type="dxa" w:w="100"/>
            </w:tcMar>
            <w:vAlign w:val="center"/>
          </w:tcPr>
          <w:p>
            <w:r>
              <w:rPr>
                <w:b/>
                <w:bCs/>
                <w:color w:val="FFFFFF"/>
                <w:sz w:val="19"/>
                <w:szCs w:val="19"/>
              </w:rPr>
              <w:t xml:space="preserve">BP</w:t>
            </w:r>
          </w:p>
        </w:tc>
        <w:tc>
          <w:tcPr>
            <w:tcW w:type="dxa" w:w="1900"/>
            <w:shd w:fill="1F3864" w:val="clear"/>
            <w:tcMar>
              <w:top w:type="dxa" w:w="60"/>
              <w:left w:type="dxa" w:w="100"/>
              <w:bottom w:type="dxa" w:w="60"/>
              <w:right w:type="dxa" w:w="100"/>
            </w:tcMar>
            <w:vAlign w:val="center"/>
          </w:tcPr>
          <w:p>
            <w:r>
              <w:rPr>
                <w:b/>
                <w:bCs/>
                <w:color w:val="FFFFFF"/>
                <w:sz w:val="19"/>
                <w:szCs w:val="19"/>
              </w:rPr>
              <w:t xml:space="preserve">Gate reached</w:t>
            </w:r>
          </w:p>
        </w:tc>
        <w:tc>
          <w:tcPr>
            <w:tcW w:type="dxa" w:w="1900"/>
            <w:shd w:fill="1F3864" w:val="clear"/>
            <w:tcMar>
              <w:top w:type="dxa" w:w="60"/>
              <w:left w:type="dxa" w:w="100"/>
              <w:bottom w:type="dxa" w:w="60"/>
              <w:right w:type="dxa" w:w="100"/>
            </w:tcMar>
            <w:vAlign w:val="center"/>
          </w:tcPr>
          <w:p>
            <w:r>
              <w:rPr>
                <w:b/>
                <w:bCs/>
                <w:color w:val="FFFFFF"/>
                <w:sz w:val="19"/>
                <w:szCs w:val="19"/>
              </w:rPr>
              <w:t xml:space="preserve">Real-run confirmed?</w:t>
            </w:r>
          </w:p>
        </w:tc>
        <w:tc>
          <w:tcPr>
            <w:tcW w:type="dxa" w:w="2200"/>
            <w:shd w:fill="1F3864" w:val="clear"/>
            <w:tcMar>
              <w:top w:type="dxa" w:w="60"/>
              <w:left w:type="dxa" w:w="100"/>
              <w:bottom w:type="dxa" w:w="60"/>
              <w:right w:type="dxa" w:w="100"/>
            </w:tcMar>
            <w:vAlign w:val="center"/>
          </w:tcPr>
          <w:p>
            <w:r>
              <w:rPr>
                <w:b/>
                <w:bCs/>
                <w:color w:val="FFFFFF"/>
                <w:sz w:val="19"/>
                <w:szCs w:val="19"/>
              </w:rPr>
              <w:t xml:space="preserve">Key real metric</w:t>
            </w:r>
          </w:p>
        </w:tc>
        <w:tc>
          <w:tcPr>
            <w:tcW w:type="dxa" w:w="2200"/>
            <w:shd w:fill="1F3864" w:val="clear"/>
            <w:tcMar>
              <w:top w:type="dxa" w:w="60"/>
              <w:left w:type="dxa" w:w="100"/>
              <w:bottom w:type="dxa" w:w="60"/>
              <w:right w:type="dxa" w:w="100"/>
            </w:tcMar>
            <w:vAlign w:val="center"/>
          </w:tcPr>
          <w:p>
            <w:r>
              <w:rPr>
                <w:b/>
                <w:bCs/>
                <w:color w:val="FFFFFF"/>
                <w:sz w:val="19"/>
                <w:szCs w:val="19"/>
              </w:rPr>
              <w:t xml:space="preserve">Artifact / commit ref</w:t>
            </w:r>
          </w:p>
        </w:tc>
      </w:tr>
      <w:tr>
        <w:tc>
          <w:tcPr>
            <w:tcW w:type="dxa" w:w="900"/>
            <w:tcMar>
              <w:top w:type="dxa" w:w="60"/>
              <w:left w:type="dxa" w:w="100"/>
              <w:bottom w:type="dxa" w:w="60"/>
              <w:right w:type="dxa" w:w="100"/>
            </w:tcMar>
            <w:vAlign w:val="center"/>
          </w:tcPr>
          <w:p>
            <w:r>
              <w:rPr>
                <w:b w:val="false"/>
                <w:bCs w:val="false"/>
                <w:color w:val="000000"/>
                <w:sz w:val="19"/>
                <w:szCs w:val="19"/>
              </w:rPr>
              <w:t xml:space="preserve">BP1</w:t>
            </w:r>
          </w:p>
        </w:tc>
        <w:tc>
          <w:tcPr>
            <w:tcW w:type="dxa" w:w="1900"/>
            <w:tcMar>
              <w:top w:type="dxa" w:w="60"/>
              <w:left w:type="dxa" w:w="100"/>
              <w:bottom w:type="dxa" w:w="60"/>
              <w:right w:type="dxa" w:w="100"/>
            </w:tcMar>
            <w:vAlign w:val="center"/>
          </w:tcPr>
          <w:p>
            <w:r>
              <w:rPr>
                <w:b w:val="false"/>
                <w:bCs w:val="false"/>
                <w:color w:val="000000"/>
                <w:sz w:val="19"/>
                <w:szCs w:val="19"/>
              </w:rPr>
              <w:t xml:space="preserve">—</w:t>
            </w:r>
          </w:p>
        </w:tc>
        <w:tc>
          <w:tcPr>
            <w:tcW w:type="dxa" w:w="1900"/>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shd w:fill="F2F2F2" w:val="clear"/>
            <w:tcMar>
              <w:top w:type="dxa" w:w="60"/>
              <w:left w:type="dxa" w:w="100"/>
              <w:bottom w:type="dxa" w:w="60"/>
              <w:right w:type="dxa" w:w="100"/>
            </w:tcMar>
            <w:vAlign w:val="center"/>
          </w:tcPr>
          <w:p>
            <w:r>
              <w:rPr>
                <w:b w:val="false"/>
                <w:bCs w:val="false"/>
                <w:color w:val="000000"/>
                <w:sz w:val="19"/>
                <w:szCs w:val="19"/>
              </w:rPr>
              <w:t xml:space="preserve">BP2</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tcMar>
              <w:top w:type="dxa" w:w="60"/>
              <w:left w:type="dxa" w:w="100"/>
              <w:bottom w:type="dxa" w:w="60"/>
              <w:right w:type="dxa" w:w="100"/>
            </w:tcMar>
            <w:vAlign w:val="center"/>
          </w:tcPr>
          <w:p>
            <w:r>
              <w:rPr>
                <w:b w:val="false"/>
                <w:bCs w:val="false"/>
                <w:color w:val="000000"/>
                <w:sz w:val="19"/>
                <w:szCs w:val="19"/>
              </w:rPr>
              <w:t xml:space="preserve">BP3</w:t>
            </w:r>
          </w:p>
        </w:tc>
        <w:tc>
          <w:tcPr>
            <w:tcW w:type="dxa" w:w="1900"/>
            <w:tcMar>
              <w:top w:type="dxa" w:w="60"/>
              <w:left w:type="dxa" w:w="100"/>
              <w:bottom w:type="dxa" w:w="60"/>
              <w:right w:type="dxa" w:w="100"/>
            </w:tcMar>
            <w:vAlign w:val="center"/>
          </w:tcPr>
          <w:p>
            <w:r>
              <w:rPr>
                <w:b w:val="false"/>
                <w:bCs w:val="false"/>
                <w:color w:val="000000"/>
                <w:sz w:val="19"/>
                <w:szCs w:val="19"/>
              </w:rPr>
              <w:t xml:space="preserve">—</w:t>
            </w:r>
          </w:p>
        </w:tc>
        <w:tc>
          <w:tcPr>
            <w:tcW w:type="dxa" w:w="1900"/>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shd w:fill="F2F2F2" w:val="clear"/>
            <w:tcMar>
              <w:top w:type="dxa" w:w="60"/>
              <w:left w:type="dxa" w:w="100"/>
              <w:bottom w:type="dxa" w:w="60"/>
              <w:right w:type="dxa" w:w="100"/>
            </w:tcMar>
            <w:vAlign w:val="center"/>
          </w:tcPr>
          <w:p>
            <w:r>
              <w:rPr>
                <w:b w:val="false"/>
                <w:bCs w:val="false"/>
                <w:color w:val="000000"/>
                <w:sz w:val="19"/>
                <w:szCs w:val="19"/>
              </w:rPr>
              <w:t xml:space="preserve">BP4</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tcMar>
              <w:top w:type="dxa" w:w="60"/>
              <w:left w:type="dxa" w:w="100"/>
              <w:bottom w:type="dxa" w:w="60"/>
              <w:right w:type="dxa" w:w="100"/>
            </w:tcMar>
            <w:vAlign w:val="center"/>
          </w:tcPr>
          <w:p>
            <w:r>
              <w:rPr>
                <w:b w:val="false"/>
                <w:bCs w:val="false"/>
                <w:color w:val="000000"/>
                <w:sz w:val="19"/>
                <w:szCs w:val="19"/>
              </w:rPr>
              <w:t xml:space="preserve">BP5</w:t>
            </w:r>
          </w:p>
        </w:tc>
        <w:tc>
          <w:tcPr>
            <w:tcW w:type="dxa" w:w="1900"/>
            <w:tcMar>
              <w:top w:type="dxa" w:w="60"/>
              <w:left w:type="dxa" w:w="100"/>
              <w:bottom w:type="dxa" w:w="60"/>
              <w:right w:type="dxa" w:w="100"/>
            </w:tcMar>
            <w:vAlign w:val="center"/>
          </w:tcPr>
          <w:p>
            <w:r>
              <w:rPr>
                <w:b w:val="false"/>
                <w:bCs w:val="false"/>
                <w:color w:val="000000"/>
                <w:sz w:val="19"/>
                <w:szCs w:val="19"/>
              </w:rPr>
              <w:t xml:space="preserve">—</w:t>
            </w:r>
          </w:p>
        </w:tc>
        <w:tc>
          <w:tcPr>
            <w:tcW w:type="dxa" w:w="1900"/>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shd w:fill="F2F2F2" w:val="clear"/>
            <w:tcMar>
              <w:top w:type="dxa" w:w="60"/>
              <w:left w:type="dxa" w:w="100"/>
              <w:bottom w:type="dxa" w:w="60"/>
              <w:right w:type="dxa" w:w="100"/>
            </w:tcMar>
            <w:vAlign w:val="center"/>
          </w:tcPr>
          <w:p>
            <w:r>
              <w:rPr>
                <w:b w:val="false"/>
                <w:bCs w:val="false"/>
                <w:color w:val="000000"/>
                <w:sz w:val="19"/>
                <w:szCs w:val="19"/>
              </w:rPr>
              <w:t xml:space="preserve">BP6</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tcMar>
              <w:top w:type="dxa" w:w="60"/>
              <w:left w:type="dxa" w:w="100"/>
              <w:bottom w:type="dxa" w:w="60"/>
              <w:right w:type="dxa" w:w="100"/>
            </w:tcMar>
            <w:vAlign w:val="center"/>
          </w:tcPr>
          <w:p>
            <w:r>
              <w:rPr>
                <w:b w:val="false"/>
                <w:bCs w:val="false"/>
                <w:color w:val="000000"/>
                <w:sz w:val="19"/>
                <w:szCs w:val="19"/>
              </w:rPr>
              <w:t xml:space="preserve">BP7</w:t>
            </w:r>
          </w:p>
        </w:tc>
        <w:tc>
          <w:tcPr>
            <w:tcW w:type="dxa" w:w="1900"/>
            <w:tcMar>
              <w:top w:type="dxa" w:w="60"/>
              <w:left w:type="dxa" w:w="100"/>
              <w:bottom w:type="dxa" w:w="60"/>
              <w:right w:type="dxa" w:w="100"/>
            </w:tcMar>
            <w:vAlign w:val="center"/>
          </w:tcPr>
          <w:p>
            <w:r>
              <w:rPr>
                <w:b w:val="false"/>
                <w:bCs w:val="false"/>
                <w:color w:val="000000"/>
                <w:sz w:val="19"/>
                <w:szCs w:val="19"/>
              </w:rPr>
              <w:t xml:space="preserve">—</w:t>
            </w:r>
          </w:p>
        </w:tc>
        <w:tc>
          <w:tcPr>
            <w:tcW w:type="dxa" w:w="1900"/>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c>
          <w:tcPr>
            <w:tcW w:type="dxa" w:w="2200"/>
            <w:tcMar>
              <w:top w:type="dxa" w:w="60"/>
              <w:left w:type="dxa" w:w="100"/>
              <w:bottom w:type="dxa" w:w="60"/>
              <w:right w:type="dxa" w:w="100"/>
            </w:tcMar>
            <w:vAlign w:val="center"/>
          </w:tcPr>
          <w:p>
            <w:r>
              <w:rPr>
                <w:b w:val="false"/>
                <w:bCs w:val="false"/>
                <w:color w:val="000000"/>
                <w:sz w:val="19"/>
                <w:szCs w:val="19"/>
              </w:rPr>
              <w:t xml:space="preserve">—</w:t>
            </w:r>
          </w:p>
        </w:tc>
      </w:tr>
      <w:tr>
        <w:tc>
          <w:tcPr>
            <w:tcW w:type="dxa" w:w="900"/>
            <w:shd w:fill="F2F2F2" w:val="clear"/>
            <w:tcMar>
              <w:top w:type="dxa" w:w="60"/>
              <w:left w:type="dxa" w:w="100"/>
              <w:bottom w:type="dxa" w:w="60"/>
              <w:right w:type="dxa" w:w="100"/>
            </w:tcMar>
            <w:vAlign w:val="center"/>
          </w:tcPr>
          <w:p>
            <w:r>
              <w:rPr>
                <w:b w:val="false"/>
                <w:bCs w:val="false"/>
                <w:color w:val="000000"/>
                <w:sz w:val="19"/>
                <w:szCs w:val="19"/>
              </w:rPr>
              <w:t xml:space="preserve">BP8</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NOT YET</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w:t>
            </w:r>
          </w:p>
        </w:tc>
      </w:tr>
    </w:tbl>
    <w:p>
      <w:pPr>
        <w:pStyle w:val="Heading1"/>
        <w:spacing w:after="160" w:before="360"/>
      </w:pPr>
      <w:r>
        <w:t xml:space="preserve">25. Quality Gates</w:t>
      </w:r>
    </w:p>
    <w:p>
      <w:pPr>
        <w:pStyle w:val="ListParagraph"/>
        <w:numPr>
          <w:ilvl w:val="0"/>
          <w:numId w:val="2"/>
        </w:numPr>
        <w:spacing w:after="80" w:line="268"/>
      </w:pPr>
      <w:r>
        <w:t xml:space="preserve">No fabricated records, labels, demographics or outcomes.</w:t>
      </w:r>
    </w:p>
    <w:p>
      <w:pPr>
        <w:pStyle w:val="ListParagraph"/>
        <w:numPr>
          <w:ilvl w:val="0"/>
          <w:numId w:val="2"/>
        </w:numPr>
        <w:spacing w:after="80" w:line="268"/>
      </w:pPr>
      <w:r>
        <w:t xml:space="preserve">Every derived feature must have a source-lineage definition and formula.</w:t>
      </w:r>
    </w:p>
    <w:p>
      <w:pPr>
        <w:pStyle w:val="ListParagraph"/>
        <w:numPr>
          <w:ilvl w:val="0"/>
          <w:numId w:val="2"/>
        </w:numPr>
        <w:spacing w:after="80" w:line="268"/>
      </w:pPr>
      <w:r>
        <w:t xml:space="preserve">Leakage checks before supervised learning; preserve train/validation/test boundaries.</w:t>
      </w:r>
    </w:p>
    <w:p>
      <w:pPr>
        <w:pStyle w:val="ListParagraph"/>
        <w:numPr>
          <w:ilvl w:val="0"/>
          <w:numId w:val="2"/>
        </w:numPr>
        <w:spacing w:after="80" w:line="268"/>
      </w:pPr>
      <w:r>
        <w:t xml:space="preserve">Report class imbalance and use appropriate metrics; never report a target threshold as guaranteed.</w:t>
      </w:r>
    </w:p>
    <w:p>
      <w:pPr>
        <w:pStyle w:val="ListParagraph"/>
        <w:numPr>
          <w:ilvl w:val="0"/>
          <w:numId w:val="2"/>
        </w:numPr>
        <w:spacing w:after="80" w:line="268"/>
      </w:pPr>
      <w:r>
        <w:t xml:space="preserve">Reproducibility: environment file, seed, dataset version and run configuration.</w:t>
      </w:r>
    </w:p>
    <w:p>
      <w:pPr>
        <w:pStyle w:val="ListParagraph"/>
        <w:numPr>
          <w:ilvl w:val="0"/>
          <w:numId w:val="2"/>
        </w:numPr>
        <w:spacing w:after="80" w:line="268"/>
      </w:pPr>
      <w:r>
        <w:t xml:space="preserve">(New) Two-checkpoint verification (Section 3 #1): fixture execution + your own real run, both required before Gate 6.</w:t>
      </w:r>
    </w:p>
    <w:p>
      <w:pPr>
        <w:pStyle w:val="Heading1"/>
        <w:spacing w:after="160" w:before="360"/>
      </w:pPr>
      <w:r>
        <w:t xml:space="preserve">26. Risks &amp;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60"/>
              <w:left w:type="dxa" w:w="100"/>
              <w:bottom w:type="dxa" w:w="60"/>
              <w:right w:type="dxa" w:w="100"/>
            </w:tcMar>
            <w:vAlign w:val="center"/>
          </w:tcPr>
          <w:p>
            <w:r>
              <w:rPr>
                <w:b/>
                <w:bCs/>
                <w:color w:val="FFFFFF"/>
                <w:sz w:val="19"/>
                <w:szCs w:val="19"/>
              </w:rPr>
              <w:t xml:space="preserve">Risk</w:t>
            </w:r>
          </w:p>
        </w:tc>
        <w:tc>
          <w:tcPr>
            <w:tcW w:type="dxa" w:w="5900"/>
            <w:shd w:fill="1F3864" w:val="clear"/>
            <w:tcMar>
              <w:top w:type="dxa" w:w="60"/>
              <w:left w:type="dxa" w:w="100"/>
              <w:bottom w:type="dxa" w:w="60"/>
              <w:right w:type="dxa" w:w="100"/>
            </w:tcMar>
            <w:vAlign w:val="center"/>
          </w:tcPr>
          <w:p>
            <w:r>
              <w:rPr>
                <w:b/>
                <w:bCs/>
                <w:color w:val="FFFFFF"/>
                <w:sz w:val="19"/>
                <w:szCs w:val="19"/>
              </w:rPr>
              <w:t xml:space="preserve">Control</w:t>
            </w:r>
          </w:p>
        </w:tc>
      </w:tr>
      <w:tr>
        <w:tc>
          <w:tcPr>
            <w:tcW w:type="dxa" w:w="3600"/>
            <w:tcMar>
              <w:top w:type="dxa" w:w="60"/>
              <w:left w:type="dxa" w:w="100"/>
              <w:bottom w:type="dxa" w:w="60"/>
              <w:right w:type="dxa" w:w="100"/>
            </w:tcMar>
            <w:vAlign w:val="center"/>
          </w:tcPr>
          <w:p>
            <w:r>
              <w:rPr>
                <w:b w:val="false"/>
                <w:bCs w:val="false"/>
                <w:color w:val="000000"/>
                <w:sz w:val="19"/>
                <w:szCs w:val="19"/>
              </w:rPr>
              <w:t xml:space="preserve">No longitudinal customer ID</w:t>
            </w:r>
          </w:p>
        </w:tc>
        <w:tc>
          <w:tcPr>
            <w:tcW w:type="dxa" w:w="5900"/>
            <w:tcMar>
              <w:top w:type="dxa" w:w="60"/>
              <w:left w:type="dxa" w:w="100"/>
              <w:bottom w:type="dxa" w:w="60"/>
              <w:right w:type="dxa" w:w="100"/>
            </w:tcMar>
            <w:vAlign w:val="center"/>
          </w:tcPr>
          <w:p>
            <w:r>
              <w:rPr>
                <w:b w:val="false"/>
                <w:bCs w:val="false"/>
                <w:color w:val="000000"/>
                <w:sz w:val="19"/>
                <w:szCs w:val="19"/>
              </w:rPr>
              <w:t xml:space="preserve">Do not fabricate; use issue/event-level journeys (BP4).</w:t>
            </w:r>
          </w:p>
        </w:tc>
      </w:tr>
      <w:tr>
        <w:tc>
          <w:tcPr>
            <w:tcW w:type="dxa" w:w="3600"/>
            <w:shd w:fill="F2F2F2" w:val="clear"/>
            <w:tcMar>
              <w:top w:type="dxa" w:w="60"/>
              <w:left w:type="dxa" w:w="100"/>
              <w:bottom w:type="dxa" w:w="60"/>
              <w:right w:type="dxa" w:w="100"/>
            </w:tcMar>
            <w:vAlign w:val="center"/>
          </w:tcPr>
          <w:p>
            <w:r>
              <w:rPr>
                <w:b w:val="false"/>
                <w:bCs w:val="false"/>
                <w:color w:val="000000"/>
                <w:sz w:val="19"/>
                <w:szCs w:val="19"/>
              </w:rPr>
              <w:t xml:space="preserve">Taxonomy mismatch</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Maintain explicit mapping table and unmapped bucket (Gate 2).</w:t>
            </w:r>
          </w:p>
        </w:tc>
      </w:tr>
      <w:tr>
        <w:tc>
          <w:tcPr>
            <w:tcW w:type="dxa" w:w="3600"/>
            <w:tcMar>
              <w:top w:type="dxa" w:w="60"/>
              <w:left w:type="dxa" w:w="100"/>
              <w:bottom w:type="dxa" w:w="60"/>
              <w:right w:type="dxa" w:w="100"/>
            </w:tcMar>
            <w:vAlign w:val="center"/>
          </w:tcPr>
          <w:p>
            <w:r>
              <w:rPr>
                <w:b w:val="false"/>
                <w:bCs w:val="false"/>
                <w:color w:val="000000"/>
                <w:sz w:val="19"/>
                <w:szCs w:val="19"/>
              </w:rPr>
              <w:t xml:space="preserve">Class imbalance</w:t>
            </w:r>
          </w:p>
        </w:tc>
        <w:tc>
          <w:tcPr>
            <w:tcW w:type="dxa" w:w="5900"/>
            <w:tcMar>
              <w:top w:type="dxa" w:w="60"/>
              <w:left w:type="dxa" w:w="100"/>
              <w:bottom w:type="dxa" w:w="60"/>
              <w:right w:type="dxa" w:w="100"/>
            </w:tcMar>
            <w:vAlign w:val="center"/>
          </w:tcPr>
          <w:p>
            <w:r>
              <w:rPr>
                <w:b w:val="false"/>
                <w:bCs w:val="false"/>
                <w:color w:val="000000"/>
                <w:sz w:val="19"/>
                <w:szCs w:val="19"/>
              </w:rPr>
              <w:t xml:space="preserve">PR-AUC, recall, precision, calibration and threshold analysis.</w:t>
            </w:r>
          </w:p>
        </w:tc>
      </w:tr>
      <w:tr>
        <w:tc>
          <w:tcPr>
            <w:tcW w:type="dxa" w:w="3600"/>
            <w:shd w:fill="F2F2F2" w:val="clear"/>
            <w:tcMar>
              <w:top w:type="dxa" w:w="60"/>
              <w:left w:type="dxa" w:w="100"/>
              <w:bottom w:type="dxa" w:w="60"/>
              <w:right w:type="dxa" w:w="100"/>
            </w:tcMar>
            <w:vAlign w:val="center"/>
          </w:tcPr>
          <w:p>
            <w:r>
              <w:rPr>
                <w:b w:val="false"/>
                <w:bCs w:val="false"/>
                <w:color w:val="000000"/>
                <w:sz w:val="19"/>
                <w:szCs w:val="19"/>
              </w:rPr>
              <w:t xml:space="preserve">GenAI hallucination</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Grounding, evidence fields, human approval and evaluation (BP6).</w:t>
            </w:r>
          </w:p>
        </w:tc>
      </w:tr>
      <w:tr>
        <w:tc>
          <w:tcPr>
            <w:tcW w:type="dxa" w:w="3600"/>
            <w:tcMar>
              <w:top w:type="dxa" w:w="60"/>
              <w:left w:type="dxa" w:w="100"/>
              <w:bottom w:type="dxa" w:w="60"/>
              <w:right w:type="dxa" w:w="100"/>
            </w:tcMar>
            <w:vAlign w:val="center"/>
          </w:tcPr>
          <w:p>
            <w:r>
              <w:rPr>
                <w:b w:val="false"/>
                <w:bCs w:val="false"/>
                <w:color w:val="000000"/>
                <w:sz w:val="19"/>
                <w:szCs w:val="19"/>
              </w:rPr>
              <w:t xml:space="preserve">Population bias</w:t>
            </w:r>
          </w:p>
        </w:tc>
        <w:tc>
          <w:tcPr>
            <w:tcW w:type="dxa" w:w="5900"/>
            <w:tcMar>
              <w:top w:type="dxa" w:w="60"/>
              <w:left w:type="dxa" w:w="100"/>
              <w:bottom w:type="dxa" w:w="60"/>
              <w:right w:type="dxa" w:w="100"/>
            </w:tcMar>
            <w:vAlign w:val="center"/>
          </w:tcPr>
          <w:p>
            <w:r>
              <w:rPr>
                <w:b w:val="false"/>
                <w:bCs w:val="false"/>
                <w:color w:val="000000"/>
                <w:sz w:val="19"/>
                <w:szCs w:val="19"/>
              </w:rPr>
              <w:t xml:space="preserve">State CFPB dataset limitations and avoid population claims.</w:t>
            </w:r>
          </w:p>
        </w:tc>
      </w:tr>
      <w:tr>
        <w:tc>
          <w:tcPr>
            <w:tcW w:type="dxa" w:w="3600"/>
            <w:shd w:fill="F2F2F2" w:val="clear"/>
            <w:tcMar>
              <w:top w:type="dxa" w:w="60"/>
              <w:left w:type="dxa" w:w="100"/>
              <w:bottom w:type="dxa" w:w="60"/>
              <w:right w:type="dxa" w:w="100"/>
            </w:tcMar>
            <w:vAlign w:val="center"/>
          </w:tcPr>
          <w:p>
            <w:r>
              <w:rPr>
                <w:b w:val="false"/>
                <w:bCs w:val="false"/>
                <w:color w:val="000000"/>
                <w:sz w:val="19"/>
                <w:szCs w:val="19"/>
              </w:rPr>
              <w:t xml:space="preserve">(New) Real-data-scale bug surfaces only after your real run</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Two-checkpoint verification protocol, mandatory (Section 3 #1, Section 25).</w:t>
            </w:r>
          </w:p>
        </w:tc>
      </w:tr>
      <w:tr>
        <w:tc>
          <w:tcPr>
            <w:tcW w:type="dxa" w:w="3600"/>
            <w:tcMar>
              <w:top w:type="dxa" w:w="60"/>
              <w:left w:type="dxa" w:w="100"/>
              <w:bottom w:type="dxa" w:w="60"/>
              <w:right w:type="dxa" w:w="100"/>
            </w:tcMar>
            <w:vAlign w:val="center"/>
          </w:tcPr>
          <w:p>
            <w:r>
              <w:rPr>
                <w:b w:val="false"/>
                <w:bCs w:val="false"/>
                <w:color w:val="000000"/>
                <w:sz w:val="19"/>
                <w:szCs w:val="19"/>
              </w:rPr>
              <w:t xml:space="preserve">(New) Machine instability from over-utilization</w:t>
            </w:r>
          </w:p>
        </w:tc>
        <w:tc>
          <w:tcPr>
            <w:tcW w:type="dxa" w:w="5900"/>
            <w:tcMar>
              <w:top w:type="dxa" w:w="60"/>
              <w:left w:type="dxa" w:w="100"/>
              <w:bottom w:type="dxa" w:w="60"/>
              <w:right w:type="dxa" w:w="100"/>
            </w:tcMar>
            <w:vAlign w:val="center"/>
          </w:tcPr>
          <w:p>
            <w:r>
              <w:rPr>
                <w:b w:val="false"/>
                <w:bCs w:val="false"/>
                <w:color w:val="000000"/>
                <w:sz w:val="19"/>
                <w:szCs w:val="19"/>
              </w:rPr>
              <w:t xml:space="preserve">WARP 92% RAM / 95% CPU hard ceilings, benchmark-before-use, thermal monitoring (Section 17).</w:t>
            </w:r>
          </w:p>
        </w:tc>
      </w:tr>
      <w:tr>
        <w:tc>
          <w:tcPr>
            <w:tcW w:type="dxa" w:w="3600"/>
            <w:shd w:fill="F2F2F2" w:val="clear"/>
            <w:tcMar>
              <w:top w:type="dxa" w:w="60"/>
              <w:left w:type="dxa" w:w="100"/>
              <w:bottom w:type="dxa" w:w="60"/>
              <w:right w:type="dxa" w:w="100"/>
            </w:tcMar>
            <w:vAlign w:val="center"/>
          </w:tcPr>
          <w:p>
            <w:r>
              <w:rPr>
                <w:b w:val="false"/>
                <w:bCs w:val="false"/>
                <w:color w:val="000000"/>
                <w:sz w:val="19"/>
                <w:szCs w:val="19"/>
              </w:rPr>
              <w:t xml:space="preserve">(New) Status claimed without evidence</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Evidence Ledger is the single source of truth; no BP is “complete” without a ledger row (Section 24).</w:t>
            </w:r>
          </w:p>
        </w:tc>
      </w:tr>
      <w:tr>
        <w:tc>
          <w:tcPr>
            <w:tcW w:type="dxa" w:w="3600"/>
            <w:tcMar>
              <w:top w:type="dxa" w:w="60"/>
              <w:left w:type="dxa" w:w="100"/>
              <w:bottom w:type="dxa" w:w="60"/>
              <w:right w:type="dxa" w:w="100"/>
            </w:tcMar>
            <w:vAlign w:val="center"/>
          </w:tcPr>
          <w:p>
            <w:r>
              <w:rPr>
                <w:b w:val="false"/>
                <w:bCs w:val="false"/>
                <w:color w:val="000000"/>
                <w:sz w:val="19"/>
                <w:szCs w:val="19"/>
              </w:rPr>
              <w:t xml:space="preserve">(New) Regulatory/compliance gap treated as out of scope</w:t>
            </w:r>
          </w:p>
        </w:tc>
        <w:tc>
          <w:tcPr>
            <w:tcW w:type="dxa" w:w="5900"/>
            <w:tcMar>
              <w:top w:type="dxa" w:w="60"/>
              <w:left w:type="dxa" w:w="100"/>
              <w:bottom w:type="dxa" w:w="60"/>
              <w:right w:type="dxa" w:w="100"/>
            </w:tcMar>
            <w:vAlign w:val="center"/>
          </w:tcPr>
          <w:p>
            <w:r>
              <w:rPr>
                <w:b w:val="false"/>
                <w:bCs w:val="false"/>
                <w:color w:val="000000"/>
                <w:sz w:val="19"/>
                <w:szCs w:val="19"/>
              </w:rPr>
              <w:t xml:space="preserve">Section 9's framework and per-Gate compliance touchpoints apply from Gate 1, not only at final review.</w:t>
            </w:r>
          </w:p>
        </w:tc>
      </w:tr>
    </w:tbl>
    <w:p>
      <w:pPr>
        <w:pStyle w:val="Heading1"/>
        <w:spacing w:after="160" w:before="360"/>
      </w:pPr>
      <w:r>
        <w:t xml:space="preserve">27. Definition of Done</w:t>
      </w:r>
    </w:p>
    <w:p>
      <w:pPr>
        <w:pStyle w:val="ListParagraph"/>
        <w:numPr>
          <w:ilvl w:val="0"/>
          <w:numId w:val="2"/>
        </w:numPr>
        <w:spacing w:after="80" w:line="268"/>
      </w:pPr>
      <w:r>
        <w:t xml:space="preserve">All 8 BPs have executable evidence, documented assumptions and reproducible outputs.</w:t>
      </w:r>
    </w:p>
    <w:p>
      <w:pPr>
        <w:pStyle w:val="ListParagraph"/>
        <w:numPr>
          <w:ilvl w:val="0"/>
          <w:numId w:val="2"/>
        </w:numPr>
        <w:spacing w:after="80" w:line="268"/>
      </w:pPr>
      <w:r>
        <w:t xml:space="preserve">README, architecture, data dictionary, requirements traceability and limitations are complete.</w:t>
      </w:r>
    </w:p>
    <w:p>
      <w:pPr>
        <w:pStyle w:val="ListParagraph"/>
        <w:numPr>
          <w:ilvl w:val="0"/>
          <w:numId w:val="2"/>
        </w:numPr>
        <w:spacing w:after="80" w:line="268"/>
      </w:pPr>
      <w:r>
        <w:t xml:space="preserve">Only implemented capabilities and observed results are claimed in CV/LinkedIn/job applications.</w:t>
      </w:r>
    </w:p>
    <w:p>
      <w:pPr>
        <w:pStyle w:val="ListParagraph"/>
        <w:numPr>
          <w:ilvl w:val="0"/>
          <w:numId w:val="2"/>
        </w:numPr>
        <w:spacing w:after="80" w:line="268"/>
      </w:pPr>
      <w:r>
        <w:t xml:space="preserve">(New) Every BP has cleared all 6 Gates (Section 8) and has a real Evidence Ledger row (Section 24) — fixture-verified is not sufficient on its own.</w:t>
      </w:r>
    </w:p>
    <w:p>
      <w:pPr>
        <w:pStyle w:val="ListParagraph"/>
        <w:numPr>
          <w:ilvl w:val="0"/>
          <w:numId w:val="2"/>
        </w:numPr>
        <w:spacing w:after="80" w:line="268"/>
      </w:pPr>
      <w:r>
        <w:t xml:space="preserve">(New) The Section 17 hardware benchmark has run at least once, and every BP notebook's reported configuration (thread count, CV mode, CPU/GPU/NPU) traces to that benchmark's real output.</w:t>
      </w:r>
    </w:p>
    <w:p>
      <w:pPr>
        <w:pStyle w:val="ListParagraph"/>
        <w:numPr>
          <w:ilvl w:val="0"/>
          <w:numId w:val="2"/>
        </w:numPr>
        <w:spacing w:after="80" w:line="268"/>
      </w:pPr>
      <w:r>
        <w:t xml:space="preserve">(New) Every applicable compliance touchpoint in Section 9 is checked off in the Evidence Ledger before a BP is marked complete.</w:t>
      </w:r>
    </w:p>
    <w:p>
      <w:pPr>
        <w:pStyle w:val="Heading1"/>
        <w:spacing w:after="160" w:before="360"/>
      </w:pPr>
      <w:r>
        <w:t xml:space="preserve">28. Open Items to Verify (flagged, not assumed)</w:t>
      </w:r>
    </w:p>
    <w:p>
      <w:pPr>
        <w:pStyle w:val="ListParagraph"/>
        <w:numPr>
          <w:ilvl w:val="0"/>
          <w:numId w:val="2"/>
        </w:numPr>
        <w:spacing w:after="80" w:line="268"/>
      </w:pPr>
      <w:r>
        <w:t xml:space="preserve">[ASSUMPTION] Exact CFPB extract date, live row count, and narrative-availability rate — confirm in Sprint 1's real profiling step before any target/coverage figure is treated as fixed.</w:t>
      </w:r>
    </w:p>
    <w:p>
      <w:pPr>
        <w:pStyle w:val="ListParagraph"/>
        <w:numPr>
          <w:ilvl w:val="0"/>
          <w:numId w:val="2"/>
        </w:numPr>
        <w:spacing w:after="80" w:line="268"/>
      </w:pPr>
      <w:r>
        <w:t xml:space="preserve">[ASSUMPTION] Sustained CPU boost clock and effective DDR5 speed under real workload — confirm via the live benchmark in Section 17, not the rated spec-sheet figures.</w:t>
      </w:r>
    </w:p>
    <w:p>
      <w:pPr>
        <w:pStyle w:val="ListParagraph"/>
        <w:numPr>
          <w:ilvl w:val="0"/>
          <w:numId w:val="2"/>
        </w:numPr>
        <w:spacing w:after="80" w:line="268"/>
      </w:pPr>
      <w:r>
        <w:t xml:space="preserve">[ASSUMPTION] Whether the integrated Radeon 8xx / NPU offers any measurable speedup for this suite's specific model set — unknown until benchmarked; very likely CPU wins for the classical 6-model set, and the NPU has no code path for it at all.</w:t>
      </w:r>
    </w:p>
    <w:p>
      <w:pPr>
        <w:pStyle w:val="ListParagraph"/>
        <w:numPr>
          <w:ilvl w:val="0"/>
          <w:numId w:val="2"/>
        </w:numPr>
        <w:spacing w:after="80" w:line="268"/>
      </w:pPr>
      <w:r>
        <w:t xml:space="preserve">[ASSUMPTION] Whether any CFPB field in the actual pulled extract is demographic-adjacent (triggers ECOA/Reg B testing) — unknown until Sprint 1's schema verification; default assumption is no such field is present.</w:t>
      </w:r>
    </w:p>
    <w:p>
      <w:pPr>
        <w:pStyle w:val="ListParagraph"/>
        <w:numPr>
          <w:ilvl w:val="0"/>
          <w:numId w:val="2"/>
        </w:numPr>
        <w:spacing w:after="80" w:line="268"/>
      </w:pPr>
      <w:r>
        <w:t xml:space="preserve">[OPEN] Whether the optional Financial-Impact Reporting layer (Section 20) is wanted for any specific BP — default is BP8's Power BI layer only.</w:t>
      </w:r>
    </w:p>
    <w:p>
      <w:pPr>
        <w:pStyle w:val="ListParagraph"/>
        <w:numPr>
          <w:ilvl w:val="0"/>
          <w:numId w:val="2"/>
        </w:numPr>
        <w:spacing w:after="80" w:line="268"/>
      </w:pPr>
      <w:r>
        <w:t xml:space="preserve">[OPEN] Whether a Hugging Face Space demo (Section 22) is wanted in place of the Kaggle-publication step used on the two prior platforms, which does not directly apply here.</w:t>
      </w:r>
    </w:p>
    <w:p>
      <w:pPr>
        <w:pStyle w:val="ListParagraph"/>
        <w:numPr>
          <w:ilvl w:val="0"/>
          <w:numId w:val="2"/>
        </w:numPr>
        <w:spacing w:after="80" w:line="268"/>
      </w:pPr>
      <w:r>
        <w:t xml:space="preserve">[DROPPED, per your instruction] “Fraud Shield” project techniques — no source document exists for it in memory or this session; explicitly excluded from this plan at your direction.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space="4"/>
      </w:pBd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00" w:before="220"/>
    </w:pPr>
    <w:rPr>
      <w:rFonts w:ascii="Calibri" w:cs="Calibri" w:eastAsia="Calibri" w:hAnsi="Calibri"/>
      <w:b/>
      <w:bCs/>
      <w:color w:val="0E7C7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2026-09-21T15:54:17.898Z</dcterms:created>
  <dcterms:modified xsi:type="dcterms:W3CDTF">2026-09-21T15:54:17.898Z</dcterms:modified>
</cp:coreProperties>
</file>

<file path=docProps/custom.xml><?xml version="1.0" encoding="utf-8"?>
<Properties xmlns="http://schemas.openxmlformats.org/officeDocument/2006/custom-properties" xmlns:vt="http://schemas.openxmlformats.org/officeDocument/2006/docPropsVTypes"/>
</file>