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2761"/>
        </w:rPr>
        <w:t>BP2 Customer Friction Classification</w:t>
      </w:r>
    </w:p>
    <w:p>
      <w:pPr>
        <w:jc w:val="center"/>
      </w:pPr>
      <w:r>
        <w:t>Executive Rollup Report — Customer360 Navigator Enterprise Suite</w:t>
      </w:r>
    </w:p>
    <w:p>
      <w:pPr>
        <w:jc w:val="center"/>
      </w:pPr>
      <w:r>
        <w:t>Generated 2026-09-24T04:04:01.346562+00:00 from BP2 Gates 1-6's real, real-run-confirmed artifacts. Every figure in this report is read live from those real files, or computed live from them - no assumption-based or illustrative content appears anywhere in this document.</w:t>
      </w:r>
    </w:p>
    <w:p>
      <w:pPr>
        <w:pStyle w:val="Heading1"/>
      </w:pPr>
      <w:r>
        <w:t>Recommended for Production Status</w:t>
      </w:r>
    </w:p>
    <w:p>
      <w:r>
        <w:rPr>
          <w:b/>
          <w:color w:val="1B998B"/>
          <w:sz w:val="32"/>
        </w:rPr>
        <w:t>RECOMMENDED FOR PRODUCTION</w:t>
      </w:r>
    </w:p>
    <w:p>
      <w:r>
        <w:t>All 6 BP2 gates are real-run confirmed and every structural integrity check passed (pytest 105 passed / 0 failed, notebook syntax audit all passed, 0 Gate 3 failed candidates — CatBoost was removed from the real Gate 3 candidate set entirely, not left as a failed candidate). Tier 2 (CONDITIONAL - GOVERNANCE REVIEW REQUIRED) is structurally unreachable for BP2: this BP's real Gate 1-6 artifacts carry no ECOA/Reg B disparate-impact check (introduced starting with BP3), so BP2 cannot ever be flagged into Tier 2.</w:t>
      </w:r>
    </w:p>
    <w:p>
      <w:pPr>
        <w:pStyle w:val="Heading1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Champion model</w:t>
            </w:r>
          </w:p>
        </w:tc>
        <w:tc>
          <w:tcPr>
            <w:tcW w:type="dxa" w:w="4320"/>
          </w:tcPr>
          <w:p>
            <w:r>
              <w:t>xgboost</w:t>
            </w:r>
          </w:p>
        </w:tc>
      </w:tr>
      <w:tr>
        <w:tc>
          <w:tcPr>
            <w:tcW w:type="dxa" w:w="4320"/>
          </w:tcPr>
          <w:p>
            <w:r>
              <w:t>Held-out test accuracy (real)</w:t>
            </w:r>
          </w:p>
        </w:tc>
        <w:tc>
          <w:tcPr>
            <w:tcW w:type="dxa" w:w="4320"/>
          </w:tcPr>
          <w:p>
            <w:r>
              <w:t>75.58%</w:t>
            </w:r>
          </w:p>
        </w:tc>
      </w:tr>
      <w:tr>
        <w:tc>
          <w:tcPr>
            <w:tcW w:type="dxa" w:w="4320"/>
          </w:tcPr>
          <w:p>
            <w:r>
              <w:t>Held-out F1-macro (real)</w:t>
            </w:r>
          </w:p>
        </w:tc>
        <w:tc>
          <w:tcPr>
            <w:tcW w:type="dxa" w:w="4320"/>
          </w:tcPr>
          <w:p>
            <w:r>
              <w:t>0.4559</w:t>
            </w:r>
          </w:p>
        </w:tc>
      </w:tr>
      <w:tr>
        <w:tc>
          <w:tcPr>
            <w:tcW w:type="dxa" w:w="4320"/>
          </w:tcPr>
          <w:p>
            <w:r>
              <w:t>Held-out F1-weighted (real)</w:t>
            </w:r>
          </w:p>
        </w:tc>
        <w:tc>
          <w:tcPr>
            <w:tcW w:type="dxa" w:w="4320"/>
          </w:tcPr>
          <w:p>
            <w:r>
              <w:t>0.7355</w:t>
            </w:r>
          </w:p>
        </w:tc>
      </w:tr>
      <w:tr>
        <w:tc>
          <w:tcPr>
            <w:tcW w:type="dxa" w:w="4320"/>
          </w:tcPr>
          <w:p>
            <w:r>
              <w:t>CV mean F1-macro (real)</w:t>
            </w:r>
          </w:p>
        </w:tc>
        <w:tc>
          <w:tcPr>
            <w:tcW w:type="dxa" w:w="4320"/>
          </w:tcPr>
          <w:p>
            <w:r>
              <w:t>0.4584</w:t>
            </w:r>
          </w:p>
        </w:tc>
      </w:tr>
      <w:tr>
        <w:tc>
          <w:tcPr>
            <w:tcW w:type="dxa" w:w="4320"/>
          </w:tcPr>
          <w:p>
            <w:r>
              <w:t>ROC-AUC, one-vs-rest macro (real)</w:t>
            </w:r>
          </w:p>
        </w:tc>
        <w:tc>
          <w:tcPr>
            <w:tcW w:type="dxa" w:w="4320"/>
          </w:tcPr>
          <w:p>
            <w:r>
              <w:t>0.8857</w:t>
            </w:r>
          </w:p>
        </w:tc>
      </w:tr>
      <w:tr>
        <w:tc>
          <w:tcPr>
            <w:tcW w:type="dxa" w:w="4320"/>
          </w:tcPr>
          <w:p>
            <w:r>
              <w:t>Classes / Train rows / Test rows (real)</w:t>
            </w:r>
          </w:p>
        </w:tc>
        <w:tc>
          <w:tcPr>
            <w:tcW w:type="dxa" w:w="4320"/>
          </w:tcPr>
          <w:p>
            <w:r>
              <w:t>4 / 653,373 / 163,344</w:t>
            </w:r>
          </w:p>
        </w:tc>
      </w:tr>
      <w:tr>
        <w:tc>
          <w:tcPr>
            <w:tcW w:type="dxa" w:w="4320"/>
          </w:tcPr>
          <w:p>
            <w:r>
              <w:t>Class imbalance ratio, majority/minority (real)</w:t>
            </w:r>
          </w:p>
        </w:tc>
        <w:tc>
          <w:tcPr>
            <w:tcW w:type="dxa" w:w="4320"/>
          </w:tcPr>
          <w:p>
            <w:r>
              <w:t>152.0:1</w:t>
            </w:r>
          </w:p>
        </w:tc>
      </w:tr>
      <w:tr>
        <w:tc>
          <w:tcPr>
            <w:tcW w:type="dxa" w:w="4320"/>
          </w:tcPr>
          <w:p>
            <w:r>
              <w:t>Decision records (real)</w:t>
            </w:r>
          </w:p>
        </w:tc>
        <w:tc>
          <w:tcPr>
            <w:tcW w:type="dxa" w:w="4320"/>
          </w:tcPr>
          <w:p>
            <w:r>
              <w:t>163,344</w:t>
            </w:r>
          </w:p>
        </w:tc>
      </w:tr>
      <w:tr>
        <w:tc>
          <w:tcPr>
            <w:tcW w:type="dxa" w:w="4320"/>
          </w:tcPr>
          <w:p>
            <w:r>
              <w:t>Reason-code coverage (real)</w:t>
            </w:r>
          </w:p>
        </w:tc>
        <w:tc>
          <w:tcPr>
            <w:tcW w:type="dxa" w:w="4320"/>
          </w:tcPr>
          <w:p>
            <w:r>
              <w:t>0.09%</w:t>
            </w:r>
          </w:p>
        </w:tc>
      </w:tr>
      <w:tr>
        <w:tc>
          <w:tcPr>
            <w:tcW w:type="dxa" w:w="4320"/>
          </w:tcPr>
          <w:p>
            <w:r>
              <w:t>Governance — pytest (real)</w:t>
            </w:r>
          </w:p>
        </w:tc>
        <w:tc>
          <w:tcPr>
            <w:tcW w:type="dxa" w:w="4320"/>
          </w:tcPr>
          <w:p>
            <w:r>
              <w:t>105 passed / 0 failed</w:t>
            </w:r>
          </w:p>
        </w:tc>
      </w:tr>
      <w:tr>
        <w:tc>
          <w:tcPr>
            <w:tcW w:type="dxa" w:w="4320"/>
          </w:tcPr>
          <w:p>
            <w:r>
              <w:t>Governance — notebook syntax audit (real)</w:t>
            </w:r>
          </w:p>
        </w:tc>
        <w:tc>
          <w:tcPr>
            <w:tcW w:type="dxa" w:w="4320"/>
          </w:tcPr>
          <w:p>
            <w:r>
              <w:t>all passed</w:t>
            </w:r>
          </w:p>
        </w:tc>
      </w:tr>
      <w:tr>
        <w:tc>
          <w:tcPr>
            <w:tcW w:type="dxa" w:w="4320"/>
          </w:tcPr>
          <w:p>
            <w:r>
              <w:t>Open governance items — Gate 3 near-random / high-variance / failed (real)</w:t>
            </w:r>
          </w:p>
        </w:tc>
        <w:tc>
          <w:tcPr>
            <w:tcW w:type="dxa" w:w="4320"/>
          </w:tcPr>
          <w:p>
            <w:r>
              <w:t>0 / 0 / 0</w:t>
            </w:r>
          </w:p>
        </w:tc>
      </w:tr>
      <w:tr>
        <w:tc>
          <w:tcPr>
            <w:tcW w:type="dxa" w:w="4320"/>
          </w:tcPr>
          <w:p>
            <w:r>
              <w:t>Governance gates complete (real)</w:t>
            </w:r>
          </w:p>
        </w:tc>
        <w:tc>
          <w:tcPr>
            <w:tcW w:type="dxa" w:w="4320"/>
          </w:tcPr>
          <w:p>
            <w:r>
              <w:t>6/6</w:t>
            </w:r>
          </w:p>
        </w:tc>
      </w:tr>
    </w:tbl>
    <w:p>
      <w:pPr>
        <w:pStyle w:val="Heading1"/>
      </w:pPr>
      <w:r>
        <w:t>Gate 1 — Business Understanding &amp; Policy (real)</w:t>
      </w:r>
    </w:p>
    <w:p>
      <w:r>
        <w:t>Primary target: friction_severity_class — An ordinal friction-severity class derived from the real CFPB `Company response to consumer` and `Timely response?` fields. The concrete bucket-to-ordinal-class mapping (which of the real values in Section 5's live output map to which severity level) is deliberately deferred to Gate 2 (taxonomy engineering) - the same sequencing BP1 used for its CFPB&lt;-&gt;BANKING77 crosswalk - because only the live-enumerated real label strings above, not an assumed set, may ground it.</w:t>
      </w:r>
    </w:p>
    <w:p>
      <w:r>
        <w:t>Sentiment-proxy signal (Master Plan's 3-signal taxonomy) — scoped OUT: NOT built as literally named in the Master Plan - no narrative/complaint-text column exists in the real CFPB extract (RAW_DATA_MANIFEST.md Finding 2) and BANKING77 carries no sentiment annotation (schema verified live in Section 6: text, category only). `Company public response` is the nearest real structured substitute if wanted later; using it that way is a labeled substitution for Gate 2 human review, not asserted here.</w:t>
      </w:r>
    </w:p>
    <w:p>
      <w:r>
        <w:t>Repeat-contact signal (Master Plan's 3-signal taxonomy) — scoped OUT: NOT built - the real CFPB schema (verified live in Section 4) has no persistent customer/consumer identifier, only `Complaint ID` (identifies the complaint, not the person). Scoped out entirely, applying the identical real-data resolution the Master Plan already uses for BP4 ('do not invent customer IDs... call this event/issue journey analytics explicitly').</w:t>
      </w:r>
    </w:p>
    <w:p>
      <w:r>
        <w:t>Feature variable candidates: Structured CFPB fields only (Product, Sub-product, Issue, Sub-issue, State, Submitted via) plus the Gate-2/BP1 `common_taxonomy_bucket` (configs/taxonomy_mapping.yaml) as an optional categorical feature for the ~6.55% of CFPB rows already in scope for BANKING77 overlap (UNMAPPED_UNKNOWN_CATEGORY for the rest) - this is how BP2 satisfies the Master Plan's 'Integrates BANKING77: YES' requirement, since BANKING77 itself carries no friction signal to train on directly. Final feature set is a Gate 2/3 decision.</w:t>
      </w:r>
    </w:p>
    <w:p>
      <w:r>
        <w:t>Train/test split source: CFPB ships no pre-defined train/test split (unlike BANKING77) - BP2 will use a fresh random split of the real CFPB extract, stratified by the derived target, random_state=42 (matching BP1's random_state for consistency, not a shared value).</w:t>
      </w:r>
    </w:p>
    <w:p>
      <w:r>
        <w:t>Compliance touchpoint — UDAAP (Unfair, Deceptive, or Abusive Acts or Practices) framing:</w:t>
      </w:r>
    </w:p>
    <w:p>
      <w:r>
        <w:t>Per Master Plan Section 9: friction findings from this classifier are framed as potential risk indicators only when statistically supported - never as a determination of unfair, deceptive, or abusive conduct by any named company. No demographic or protected-class field exists in the real CFPB extract in scope for this project (docs/data_dictionary/RAW_DATA_MANIFEST.md Finding 3), so ECOA/Regulation B disparate-impact testing is Not Applicable - No Protected-Class Field in Scope, stated honestly rather than skipped silently.</w:t>
      </w:r>
    </w:p>
    <w:p>
      <w:pPr>
        <w:pStyle w:val="Heading2"/>
      </w:pPr>
      <w:r>
        <w:t>Leakage Rules (real, enforced live every Gate 1 run)</w:t>
      </w:r>
    </w:p>
    <w:p>
      <w:pPr>
        <w:pStyle w:val="ListBullet"/>
      </w:pPr>
      <w:r>
        <w:t>`Company response to consumer` and `Timely response?` define the target and must NEVER also be used as input features - they are not traditional train/test leakage, they are the label itself. This is the single most important rule in this policy.</w:t>
      </w:r>
    </w:p>
    <w:p>
      <w:pPr>
        <w:pStyle w:val="ListBullet"/>
      </w:pPr>
      <w:r>
        <w:t>`Company public response` is NOT pre-cleared as a safe feature - it is ~54% null (live-checked in Section 5) and its relationship to the target is unverified; Gate 2/3 must test it for suspiciously high predictive power before treating it as a legitimate feature rather than a leakage proxy.</w:t>
      </w:r>
    </w:p>
    <w:p>
      <w:pPr>
        <w:pStyle w:val="ListBullet"/>
      </w:pPr>
      <w:r>
        <w:t>No CFPB row may appear in both the train and test split of BP2's fresh random split - verified structurally by construction (single stratified split call, not a manual/ad hoc merge) once Gate 3 builds it.</w:t>
      </w:r>
    </w:p>
    <w:p>
      <w:pPr>
        <w:pStyle w:val="ListBullet"/>
      </w:pPr>
      <w:r>
        <w:t>BANKING77 is never a source of friction/severity training labels - verified live in Section 6 that its schema carries no such field. It contributes only the Gate-2/BP1 taxonomy-bucket feature described above.</w:t>
      </w:r>
    </w:p>
    <w:p>
      <w:pPr>
        <w:pStyle w:val="Heading2"/>
      </w:pPr>
      <w:r>
        <w:t>Scope Assumptions Documented at Gate 1 (real)</w:t>
      </w:r>
    </w:p>
    <w:p>
      <w:pPr>
        <w:pStyle w:val="ListBullet"/>
      </w:pPr>
      <w:r>
        <w:t>BP2's friction taxonomy is honestly narrowed to ONE of the Master Plan's three named signal types (severity) - sentiment proxy and repeat-contact signal are scoped out for the documented real-data reasons above, not silently substituted.</w:t>
      </w:r>
    </w:p>
    <w:p>
      <w:pPr>
        <w:pStyle w:val="ListBullet"/>
      </w:pPr>
      <w:r>
        <w:t>The severity bucket-to-class mapping itself is NOT decided in this notebook - it is deferred to Gate 2, to be built as a documented judgment mapping (HIGH/MEDIUM/LOW confidence per bucket, same pattern as configs/taxonomy_mapping.yaml) against the real values live-enumerated in Section 5, with explicit human review before Gate 3 trains on it.</w:t>
      </w:r>
    </w:p>
    <w:p>
      <w:pPr>
        <w:pStyle w:val="ListBullet"/>
      </w:pPr>
      <w:r>
        <w:t>`src/utils/bp1_config_sync.py` is reused unmodified for BP2's own config file (configs/bp2_customer_friction_classification.yaml) - its read/write functions are already fully parameterized by config_path and contain no BP1-specific logic.</w:t>
      </w:r>
    </w:p>
    <w:p>
      <w:pPr>
        <w:pStyle w:val="Heading2"/>
      </w:pPr>
      <w:r>
        <w:t>Live Target-Field Distributions (real, re-verified every Gate 1 run)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 response to consumer</w:t>
            </w:r>
          </w:p>
        </w:tc>
        <w:tc>
          <w:tcPr>
            <w:tcW w:type="dxa" w:w="4320"/>
          </w:tcPr>
          <w:p>
            <w:r>
              <w:t>Real count</w:t>
            </w:r>
          </w:p>
        </w:tc>
      </w:tr>
      <w:tr>
        <w:tc>
          <w:tcPr>
            <w:tcW w:type="dxa" w:w="4320"/>
          </w:tcPr>
          <w:p>
            <w:r>
              <w:t>Closed with explanation</w:t>
            </w:r>
          </w:p>
        </w:tc>
        <w:tc>
          <w:tcPr>
            <w:tcW w:type="dxa" w:w="4320"/>
          </w:tcPr>
          <w:p>
            <w:r>
              <w:t>492,340</w:t>
            </w:r>
          </w:p>
        </w:tc>
      </w:tr>
      <w:tr>
        <w:tc>
          <w:tcPr>
            <w:tcW w:type="dxa" w:w="4320"/>
          </w:tcPr>
          <w:p>
            <w:r>
              <w:t>Closed with non-monetary relief</w:t>
            </w:r>
          </w:p>
        </w:tc>
        <w:tc>
          <w:tcPr>
            <w:tcW w:type="dxa" w:w="4320"/>
          </w:tcPr>
          <w:p>
            <w:r>
              <w:t>312,602</w:t>
            </w:r>
          </w:p>
        </w:tc>
      </w:tr>
      <w:tr>
        <w:tc>
          <w:tcPr>
            <w:tcW w:type="dxa" w:w="4320"/>
          </w:tcPr>
          <w:p>
            <w:r>
              <w:t>In progress</w:t>
            </w:r>
          </w:p>
        </w:tc>
        <w:tc>
          <w:tcPr>
            <w:tcW w:type="dxa" w:w="4320"/>
          </w:tcPr>
          <w:p>
            <w:r>
              <w:t>231,856</w:t>
            </w:r>
          </w:p>
        </w:tc>
      </w:tr>
      <w:tr>
        <w:tc>
          <w:tcPr>
            <w:tcW w:type="dxa" w:w="4320"/>
          </w:tcPr>
          <w:p>
            <w:r>
              <w:t>Closed with monetary relief</w:t>
            </w:r>
          </w:p>
        </w:tc>
        <w:tc>
          <w:tcPr>
            <w:tcW w:type="dxa" w:w="4320"/>
          </w:tcPr>
          <w:p>
            <w:r>
              <w:t>10,511</w:t>
            </w:r>
          </w:p>
        </w:tc>
      </w:tr>
      <w:tr>
        <w:tc>
          <w:tcPr>
            <w:tcW w:type="dxa" w:w="4320"/>
          </w:tcPr>
          <w:p>
            <w:r>
              <w:t>Untimely response</w:t>
            </w:r>
          </w:p>
        </w:tc>
        <w:tc>
          <w:tcPr>
            <w:tcW w:type="dxa" w:w="4320"/>
          </w:tcPr>
          <w:p>
            <w:r>
              <w:t>1,264</w:t>
            </w:r>
          </w:p>
        </w:tc>
      </w:tr>
      <w:tr>
        <w:tc>
          <w:tcPr>
            <w:tcW w:type="dxa" w:w="4320"/>
          </w:tcPr>
          <w:p>
            <w:r>
              <w:t>None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r>
        <w:t>Real CFPB row count at Gate 1: 1,048,575. Company public response null rows: 570,861.</w:t>
      </w:r>
    </w:p>
    <w:p>
      <w:pPr>
        <w:pStyle w:val="Heading1"/>
      </w:pPr>
      <w:r>
        <w:t>Model Benchmark — Gate 3 (real 5-fold CV)</w:t>
      </w:r>
    </w:p>
    <w:p>
      <w:r>
        <w:drawing>
          <wp:inline xmlns:a="http://schemas.openxmlformats.org/drawingml/2006/main" xmlns:pic="http://schemas.openxmlformats.org/drawingml/2006/picture">
            <wp:extent cx="5669280" cy="29351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519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Mean F1-macro</w:t>
            </w:r>
          </w:p>
        </w:tc>
        <w:tc>
          <w:tcPr>
            <w:tcW w:type="dxa" w:w="2160"/>
          </w:tcPr>
          <w:p>
            <w:r>
              <w:t>Std F1-macro</w:t>
            </w:r>
          </w:p>
        </w:tc>
        <w:tc>
          <w:tcPr>
            <w:tcW w:type="dxa" w:w="2160"/>
          </w:tcPr>
          <w:p>
            <w:r>
              <w:t>Mean Accuracy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0.4584</w:t>
            </w:r>
          </w:p>
        </w:tc>
        <w:tc>
          <w:tcPr>
            <w:tcW w:type="dxa" w:w="2160"/>
          </w:tcPr>
          <w:p>
            <w:r>
              <w:t>0.0075</w:t>
            </w:r>
          </w:p>
        </w:tc>
        <w:tc>
          <w:tcPr>
            <w:tcW w:type="dxa" w:w="2160"/>
          </w:tcPr>
          <w:p>
            <w:r>
              <w:t>0.7582</w:t>
            </w:r>
          </w:p>
        </w:tc>
      </w:tr>
      <w:tr>
        <w:tc>
          <w:tcPr>
            <w:tcW w:type="dxa" w:w="2160"/>
          </w:tcPr>
          <w:p>
            <w:r>
              <w:t>hist_gradient_boosting</w:t>
            </w:r>
          </w:p>
        </w:tc>
        <w:tc>
          <w:tcPr>
            <w:tcW w:type="dxa" w:w="2160"/>
          </w:tcPr>
          <w:p>
            <w:r>
              <w:t>0.4525</w:t>
            </w:r>
          </w:p>
        </w:tc>
        <w:tc>
          <w:tcPr>
            <w:tcW w:type="dxa" w:w="2160"/>
          </w:tcPr>
          <w:p>
            <w:r>
              <w:t>0.0068</w:t>
            </w:r>
          </w:p>
        </w:tc>
        <w:tc>
          <w:tcPr>
            <w:tcW w:type="dxa" w:w="2160"/>
          </w:tcPr>
          <w:p>
            <w:r>
              <w:t>0.7570</w:t>
            </w:r>
          </w:p>
        </w:tc>
      </w:tr>
      <w:tr>
        <w:tc>
          <w:tcPr>
            <w:tcW w:type="dxa" w:w="2160"/>
          </w:tcPr>
          <w:p>
            <w:r>
              <w:t>lightgbm</w:t>
            </w:r>
          </w:p>
        </w:tc>
        <w:tc>
          <w:tcPr>
            <w:tcW w:type="dxa" w:w="2160"/>
          </w:tcPr>
          <w:p>
            <w:r>
              <w:t>0.4478</w:t>
            </w:r>
          </w:p>
        </w:tc>
        <w:tc>
          <w:tcPr>
            <w:tcW w:type="dxa" w:w="2160"/>
          </w:tcPr>
          <w:p>
            <w:r>
              <w:t>0.0013</w:t>
            </w:r>
          </w:p>
        </w:tc>
        <w:tc>
          <w:tcPr>
            <w:tcW w:type="dxa" w:w="2160"/>
          </w:tcPr>
          <w:p>
            <w:r>
              <w:t>0.6642</w:t>
            </w:r>
          </w:p>
        </w:tc>
      </w:tr>
      <w:tr>
        <w:tc>
          <w:tcPr>
            <w:tcW w:type="dxa" w:w="2160"/>
          </w:tcPr>
          <w:p>
            <w:r>
              <w:t>random_forest</w:t>
            </w:r>
          </w:p>
        </w:tc>
        <w:tc>
          <w:tcPr>
            <w:tcW w:type="dxa" w:w="2160"/>
          </w:tcPr>
          <w:p>
            <w:r>
              <w:t>0.3942</w:t>
            </w:r>
          </w:p>
        </w:tc>
        <w:tc>
          <w:tcPr>
            <w:tcW w:type="dxa" w:w="2160"/>
          </w:tcPr>
          <w:p>
            <w:r>
              <w:t>0.0037</w:t>
            </w:r>
          </w:p>
        </w:tc>
        <w:tc>
          <w:tcPr>
            <w:tcW w:type="dxa" w:w="2160"/>
          </w:tcPr>
          <w:p>
            <w:r>
              <w:t>0.5792</w:t>
            </w:r>
          </w:p>
        </w:tc>
      </w:tr>
      <w:tr>
        <w:tc>
          <w:tcPr>
            <w:tcW w:type="dxa" w:w="2160"/>
          </w:tcPr>
          <w:p>
            <w:r>
              <w:t>logistic_regression</w:t>
            </w:r>
          </w:p>
        </w:tc>
        <w:tc>
          <w:tcPr>
            <w:tcW w:type="dxa" w:w="2160"/>
          </w:tcPr>
          <w:p>
            <w:r>
              <w:t>0.1384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0.3827</w:t>
            </w:r>
          </w:p>
        </w:tc>
      </w:tr>
    </w:tbl>
    <w:p>
      <w:r>
        <w:t>Real Gate 3 candidate failure (not investigated further, per explicit user instruction): [].</w:t>
      </w:r>
    </w:p>
    <w:p>
      <w:pPr>
        <w:pStyle w:val="Heading1"/>
      </w:pPr>
      <w:r>
        <w:t>Explainability &amp; Statistical Validation — Gate 4 (real)</w:t>
      </w:r>
    </w:p>
    <w:p>
      <w:r>
        <w:drawing>
          <wp:inline xmlns:a="http://schemas.openxmlformats.org/drawingml/2006/main" xmlns:pic="http://schemas.openxmlformats.org/drawingml/2006/picture">
            <wp:extent cx="5486400" cy="30939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3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Champion xgboost vs. runner-up hist_gradient_boosting: paired t-test statistic 1.3893, p-value 0.2371 (n=5 real CV folds — n=5 CV folds is a small sample - treat p-values as directional evidence, not a high-powered statistical claim.). Held-out test F1-macro 0.4559, 95% bootstrap CI [0.4452, 0.4666] (1000 resamples). SHAP sample size 150, background size 50.</w:t>
      </w:r>
    </w:p>
    <w:p>
      <w:pPr>
        <w:pStyle w:val="Heading1"/>
      </w:pPr>
      <w:r>
        <w:t>Per-Severity-Class Performance — Gate 3 (real, all 4 classes)</w:t>
      </w:r>
    </w:p>
    <w:p>
      <w:r>
        <w:drawing>
          <wp:inline xmlns:a="http://schemas.openxmlformats.org/drawingml/2006/main" xmlns:pic="http://schemas.openxmlformats.org/drawingml/2006/picture">
            <wp:extent cx="5669280" cy="31507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5074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Severity class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</w:tr>
      <w:tr>
        <w:tc>
          <w:tcPr>
            <w:tcW w:type="dxa" w:w="1728"/>
          </w:tcPr>
          <w:p>
            <w:r>
              <w:t>MEDIUM_HIGH_FRICTION</w:t>
            </w:r>
          </w:p>
        </w:tc>
        <w:tc>
          <w:tcPr>
            <w:tcW w:type="dxa" w:w="1728"/>
          </w:tcPr>
          <w:p>
            <w:r>
              <w:t>0.731</w:t>
            </w:r>
          </w:p>
        </w:tc>
        <w:tc>
          <w:tcPr>
            <w:tcW w:type="dxa" w:w="1728"/>
          </w:tcPr>
          <w:p>
            <w:r>
              <w:t>0.941</w:t>
            </w:r>
          </w:p>
        </w:tc>
        <w:tc>
          <w:tcPr>
            <w:tcW w:type="dxa" w:w="1728"/>
          </w:tcPr>
          <w:p>
            <w:r>
              <w:t>0.823</w:t>
            </w:r>
          </w:p>
        </w:tc>
        <w:tc>
          <w:tcPr>
            <w:tcW w:type="dxa" w:w="1728"/>
          </w:tcPr>
          <w:p>
            <w:r>
              <w:t>98,108</w:t>
            </w:r>
          </w:p>
        </w:tc>
      </w:tr>
      <w:tr>
        <w:tc>
          <w:tcPr>
            <w:tcW w:type="dxa" w:w="1728"/>
          </w:tcPr>
          <w:p>
            <w:r>
              <w:t>MEDIUM_FRICTION</w:t>
            </w:r>
          </w:p>
        </w:tc>
        <w:tc>
          <w:tcPr>
            <w:tcW w:type="dxa" w:w="1728"/>
          </w:tcPr>
          <w:p>
            <w:r>
              <w:t>0.846</w:t>
            </w:r>
          </w:p>
        </w:tc>
        <w:tc>
          <w:tcPr>
            <w:tcW w:type="dxa" w:w="1728"/>
          </w:tcPr>
          <w:p>
            <w:r>
              <w:t>0.493</w:t>
            </w:r>
          </w:p>
        </w:tc>
        <w:tc>
          <w:tcPr>
            <w:tcW w:type="dxa" w:w="1728"/>
          </w:tcPr>
          <w:p>
            <w:r>
              <w:t>0.623</w:t>
            </w:r>
          </w:p>
        </w:tc>
        <w:tc>
          <w:tcPr>
            <w:tcW w:type="dxa" w:w="1728"/>
          </w:tcPr>
          <w:p>
            <w:r>
              <w:t>62,506</w:t>
            </w:r>
          </w:p>
        </w:tc>
      </w:tr>
      <w:tr>
        <w:tc>
          <w:tcPr>
            <w:tcW w:type="dxa" w:w="1728"/>
          </w:tcPr>
          <w:p>
            <w:r>
              <w:t>HIGH_FRICTION</w:t>
            </w:r>
          </w:p>
        </w:tc>
        <w:tc>
          <w:tcPr>
            <w:tcW w:type="dxa" w:w="1728"/>
          </w:tcPr>
          <w:p>
            <w:r>
              <w:t>0.716</w:t>
            </w:r>
          </w:p>
        </w:tc>
        <w:tc>
          <w:tcPr>
            <w:tcW w:type="dxa" w:w="1728"/>
          </w:tcPr>
          <w:p>
            <w:r>
              <w:t>0.121</w:t>
            </w:r>
          </w:p>
        </w:tc>
        <w:tc>
          <w:tcPr>
            <w:tcW w:type="dxa" w:w="1728"/>
          </w:tcPr>
          <w:p>
            <w:r>
              <w:t>0.207</w:t>
            </w:r>
          </w:p>
        </w:tc>
        <w:tc>
          <w:tcPr>
            <w:tcW w:type="dxa" w:w="1728"/>
          </w:tcPr>
          <w:p>
            <w:r>
              <w:t>645</w:t>
            </w:r>
          </w:p>
        </w:tc>
      </w:tr>
      <w:tr>
        <w:tc>
          <w:tcPr>
            <w:tcW w:type="dxa" w:w="1728"/>
          </w:tcPr>
          <w:p>
            <w:r>
              <w:t>LOW_FRICTION</w:t>
            </w:r>
          </w:p>
        </w:tc>
        <w:tc>
          <w:tcPr>
            <w:tcW w:type="dxa" w:w="1728"/>
          </w:tcPr>
          <w:p>
            <w:r>
              <w:t>0.505</w:t>
            </w:r>
          </w:p>
        </w:tc>
        <w:tc>
          <w:tcPr>
            <w:tcW w:type="dxa" w:w="1728"/>
          </w:tcPr>
          <w:p>
            <w:r>
              <w:t>0.103</w:t>
            </w:r>
          </w:p>
        </w:tc>
        <w:tc>
          <w:tcPr>
            <w:tcW w:type="dxa" w:w="1728"/>
          </w:tcPr>
          <w:p>
            <w:r>
              <w:t>0.171</w:t>
            </w:r>
          </w:p>
        </w:tc>
        <w:tc>
          <w:tcPr>
            <w:tcW w:type="dxa" w:w="1728"/>
          </w:tcPr>
          <w:p>
            <w:r>
              <w:t>2,085</w:t>
            </w:r>
          </w:p>
        </w:tc>
      </w:tr>
    </w:tbl>
    <w:p>
      <w:pPr>
        <w:pStyle w:val="Heading1"/>
      </w:pPr>
      <w:r>
        <w:t>Decision Layer — Gate 5 (real)</w:t>
      </w:r>
    </w:p>
    <w:p>
      <w:r>
        <w:drawing>
          <wp:inline xmlns:a="http://schemas.openxmlformats.org/drawingml/2006/main" xmlns:pic="http://schemas.openxmlformats.org/drawingml/2006/picture">
            <wp:extent cx="5669280" cy="31393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9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150 of 163,344 real decision records carry a grounded per-instance reason code (0.09%). Mean confidence on correct predictions: 0.7753; on incorrect predictions: 0.6845. Gate 4/Gate 5 top-term overlap: 2/10 (Company_freq, ohe__Product_Credit reporting or other personal consumer reports).</w:t>
      </w:r>
    </w:p>
    <w:p>
      <w:r>
        <w:t>Compliance — GenAI API used: False. Not Applicable to BP2 Gate 5 - this gate generates no GenAI or customer-facing text; reason codes and confidence scores are deterministic outputs of the champion classifier and real per-instance SHAP values. Real GenAI-drafted customer-facing text (subject to UDAAP review) is scoped to BP6 (GenAI Resolution Assistant) per the Master Execution Plan, same standing scope decision as BP1 Gate 5.</w:t>
      </w:r>
    </w:p>
    <w:p>
      <w:pPr>
        <w:pStyle w:val="Heading1"/>
      </w:pPr>
      <w:r>
        <w:t>Severity Distribution — Gate 2 (real)</w:t>
      </w:r>
    </w:p>
    <w:p>
      <w:r>
        <w:drawing>
          <wp:inline xmlns:a="http://schemas.openxmlformats.org/drawingml/2006/main" xmlns:pic="http://schemas.openxmlformats.org/drawingml/2006/picture">
            <wp:extent cx="4846320" cy="41490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149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Confusion Analysis — Gate 3 (real, full 4×4 matrix)</w:t>
      </w:r>
    </w:p>
    <w:p>
      <w:r>
        <w:drawing>
          <wp:inline xmlns:a="http://schemas.openxmlformats.org/drawingml/2006/main" xmlns:pic="http://schemas.openxmlformats.org/drawingml/2006/picture">
            <wp:extent cx="5029200" cy="37862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8620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True class</w:t>
            </w:r>
          </w:p>
        </w:tc>
        <w:tc>
          <w:tcPr>
            <w:tcW w:type="dxa" w:w="2880"/>
          </w:tcPr>
          <w:p>
            <w:r>
              <w:t>Predicted class</w:t>
            </w:r>
          </w:p>
        </w:tc>
        <w:tc>
          <w:tcPr>
            <w:tcW w:type="dxa" w:w="2880"/>
          </w:tcPr>
          <w:p>
            <w:r>
              <w:t>Real count</w:t>
            </w:r>
          </w:p>
        </w:tc>
      </w:tr>
      <w:tr>
        <w:tc>
          <w:tcPr>
            <w:tcW w:type="dxa" w:w="2880"/>
          </w:tcPr>
          <w:p>
            <w:r>
              <w:t>MEDIUM_FRICTION</w:t>
            </w:r>
          </w:p>
        </w:tc>
        <w:tc>
          <w:tcPr>
            <w:tcW w:type="dxa" w:w="2880"/>
          </w:tcPr>
          <w:p>
            <w:r>
              <w:t>MEDIUM_HIGH_FRICTION</w:t>
            </w:r>
          </w:p>
        </w:tc>
        <w:tc>
          <w:tcPr>
            <w:tcW w:type="dxa" w:w="2880"/>
          </w:tcPr>
          <w:p>
            <w:r>
              <w:t>31669</w:t>
            </w:r>
          </w:p>
        </w:tc>
      </w:tr>
      <w:tr>
        <w:tc>
          <w:tcPr>
            <w:tcW w:type="dxa" w:w="2880"/>
          </w:tcPr>
          <w:p>
            <w:r>
              <w:t>MEDIUM_HIGH_FRICTION</w:t>
            </w:r>
          </w:p>
        </w:tc>
        <w:tc>
          <w:tcPr>
            <w:tcW w:type="dxa" w:w="2880"/>
          </w:tcPr>
          <w:p>
            <w:r>
              <w:t>MEDIUM_FRICTION</w:t>
            </w:r>
          </w:p>
        </w:tc>
        <w:tc>
          <w:tcPr>
            <w:tcW w:type="dxa" w:w="2880"/>
          </w:tcPr>
          <w:p>
            <w:r>
              <w:t>5547</w:t>
            </w:r>
          </w:p>
        </w:tc>
      </w:tr>
      <w:tr>
        <w:tc>
          <w:tcPr>
            <w:tcW w:type="dxa" w:w="2880"/>
          </w:tcPr>
          <w:p>
            <w:r>
              <w:t>LOW_FRICTION</w:t>
            </w:r>
          </w:p>
        </w:tc>
        <w:tc>
          <w:tcPr>
            <w:tcW w:type="dxa" w:w="2880"/>
          </w:tcPr>
          <w:p>
            <w:r>
              <w:t>MEDIUM_HIGH_FRICTION</w:t>
            </w:r>
          </w:p>
        </w:tc>
        <w:tc>
          <w:tcPr>
            <w:tcW w:type="dxa" w:w="2880"/>
          </w:tcPr>
          <w:p>
            <w:r>
              <w:t>1840</w:t>
            </w:r>
          </w:p>
        </w:tc>
      </w:tr>
      <w:tr>
        <w:tc>
          <w:tcPr>
            <w:tcW w:type="dxa" w:w="2880"/>
          </w:tcPr>
          <w:p>
            <w:r>
              <w:t>HIGH_FRICTION</w:t>
            </w:r>
          </w:p>
        </w:tc>
        <w:tc>
          <w:tcPr>
            <w:tcW w:type="dxa" w:w="2880"/>
          </w:tcPr>
          <w:p>
            <w:r>
              <w:t>MEDIUM_HIGH_FRICTION</w:t>
            </w:r>
          </w:p>
        </w:tc>
        <w:tc>
          <w:tcPr>
            <w:tcW w:type="dxa" w:w="2880"/>
          </w:tcPr>
          <w:p>
            <w:r>
              <w:t>517</w:t>
            </w:r>
          </w:p>
        </w:tc>
      </w:tr>
      <w:tr>
        <w:tc>
          <w:tcPr>
            <w:tcW w:type="dxa" w:w="2880"/>
          </w:tcPr>
          <w:p>
            <w:r>
              <w:t>MEDIUM_HIGH_FRICTION</w:t>
            </w:r>
          </w:p>
        </w:tc>
        <w:tc>
          <w:tcPr>
            <w:tcW w:type="dxa" w:w="2880"/>
          </w:tcPr>
          <w:p>
            <w:r>
              <w:t>LOW_FRICTION</w:t>
            </w:r>
          </w:p>
        </w:tc>
        <w:tc>
          <w:tcPr>
            <w:tcW w:type="dxa" w:w="2880"/>
          </w:tcPr>
          <w:p>
            <w:r>
              <w:t>185</w:t>
            </w:r>
          </w:p>
        </w:tc>
      </w:tr>
      <w:tr>
        <w:tc>
          <w:tcPr>
            <w:tcW w:type="dxa" w:w="2880"/>
          </w:tcPr>
          <w:p>
            <w:r>
              <w:t>HIGH_FRICTION</w:t>
            </w:r>
          </w:p>
        </w:tc>
        <w:tc>
          <w:tcPr>
            <w:tcW w:type="dxa" w:w="2880"/>
          </w:tcPr>
          <w:p>
            <w:r>
              <w:t>MEDIUM_FRICTION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2880"/>
          </w:tcPr>
          <w:p>
            <w:r>
              <w:t>LOW_FRICTION</w:t>
            </w:r>
          </w:p>
        </w:tc>
        <w:tc>
          <w:tcPr>
            <w:tcW w:type="dxa" w:w="2880"/>
          </w:tcPr>
          <w:p>
            <w:r>
              <w:t>MEDIUM_FRICTION</w:t>
            </w:r>
          </w:p>
        </w:tc>
        <w:tc>
          <w:tcPr>
            <w:tcW w:type="dxa" w:w="2880"/>
          </w:tcPr>
          <w:p>
            <w:r>
              <w:t>29</w:t>
            </w:r>
          </w:p>
        </w:tc>
      </w:tr>
      <w:tr>
        <w:tc>
          <w:tcPr>
            <w:tcW w:type="dxa" w:w="2880"/>
          </w:tcPr>
          <w:p>
            <w:r>
              <w:t>MEDIUM_HIGH_FRICTION</w:t>
            </w:r>
          </w:p>
        </w:tc>
        <w:tc>
          <w:tcPr>
            <w:tcW w:type="dxa" w:w="2880"/>
          </w:tcPr>
          <w:p>
            <w:r>
              <w:t>HIGH_FRICTION</w:t>
            </w:r>
          </w:p>
        </w:tc>
        <w:tc>
          <w:tcPr>
            <w:tcW w:type="dxa" w:w="2880"/>
          </w:tcPr>
          <w:p>
            <w:r>
              <w:t>29</w:t>
            </w:r>
          </w:p>
        </w:tc>
      </w:tr>
      <w:tr>
        <w:tc>
          <w:tcPr>
            <w:tcW w:type="dxa" w:w="2880"/>
          </w:tcPr>
          <w:p>
            <w:r>
              <w:t>MEDIUM_FRICTION</w:t>
            </w:r>
          </w:p>
        </w:tc>
        <w:tc>
          <w:tcPr>
            <w:tcW w:type="dxa" w:w="2880"/>
          </w:tcPr>
          <w:p>
            <w:r>
              <w:t>LOW_FRICTION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HIGH_FRICTION</w:t>
            </w:r>
          </w:p>
        </w:tc>
        <w:tc>
          <w:tcPr>
            <w:tcW w:type="dxa" w:w="2880"/>
          </w:tcPr>
          <w:p>
            <w:r>
              <w:t>LOW_FRICTION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LOW_FRICTION</w:t>
            </w:r>
          </w:p>
        </w:tc>
        <w:tc>
          <w:tcPr>
            <w:tcW w:type="dxa" w:w="2880"/>
          </w:tcPr>
          <w:p>
            <w:r>
              <w:t>HIGH_FRICTION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MEDIUM_FRICTION</w:t>
            </w:r>
          </w:p>
        </w:tc>
        <w:tc>
          <w:tcPr>
            <w:tcW w:type="dxa" w:w="2880"/>
          </w:tcPr>
          <w:p>
            <w:r>
              <w:t>HIGH_FRICTION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>
      <w:pPr>
        <w:pStyle w:val="Heading1"/>
      </w:pPr>
      <w:r>
        <w:t>Gate 6 — Governance, Known Limitations &amp; Compliance (real)</w:t>
      </w:r>
    </w:p>
    <w:p>
      <w:r>
        <w:t>pytest suite: 105 passed / 0 failed (skipped 1). Notebook syntax audit: 19/19 passed.</w:t>
      </w:r>
    </w:p>
    <w:p>
      <w:r>
        <w:t>Open items — Gate 3 candidate-level issues detected live: 0 near-random result(s), 0 high CV-variance result(s), 0 outright failure(s).</w:t>
      </w:r>
    </w:p>
    <w:p>
      <w:r>
        <w:t>Model card: reports\bp2_customer_friction_classification\MODEL_CARD.md | Changelog: reports\bp2_customer_friction_classification\CHANGELOG.md</w:t>
      </w:r>
    </w:p>
    <w:p>
      <w:r>
        <w:t>Model inventory compliance touchpoint: Model inventory entry opened (SR 11-7 first-line record)</w:t>
      </w:r>
    </w:p>
    <w:p>
      <w:r>
        <w:t>Model family: one-hot/frequency-encoded structured features + xgboost. Training data: Real CFPB extract, fresh stratified 80/20 split (CFPB provides no split of its own), random_state=42</w:t>
      </w:r>
    </w:p>
    <w:p>
      <w:r>
        <w:t>Gate 3 candidates evaluated (real): logistic_regression, random_forest, hist_gradient_boosting, xgboost, lightgbm.</w:t>
      </w:r>
    </w:p>
    <w:p>
      <w:r>
        <w:t>Demographic-adjacent `Tags` values found live at Gate 3 (real; `Tags` itself is excluded from the feature set regardless): servicemember, older american, older american, servicemember.</w:t>
      </w:r>
    </w:p>
    <w:p>
      <w:pPr>
        <w:pStyle w:val="Heading1"/>
      </w:pPr>
      <w:r>
        <w:t>SMART Suggestions</w:t>
      </w:r>
    </w:p>
    <w:p>
      <w:pPr>
        <w:pStyle w:val="Heading2"/>
      </w:pPr>
      <w:r>
        <w:t>Close the minority-class recall gap on the two smallest severity classes</w:t>
      </w:r>
    </w:p>
    <w:p>
      <w:r>
        <w:t>Specific: Despite reasonably strong real precision, the two lowest-support real severity classes show much weaker real recall on the held-out test set: HIGH_FRICTION (precision 71.6%, recall 12.1%, support 645); LOW_FRICTION (precision 50.5%, recall 10.3%, support 2,085). With a real 152:1 class-imbalance ratio (majority/minority), the champion under-predicts these classes far more than the headline 75.6% accuracy suggests.</w:t>
      </w:r>
    </w:p>
    <w:p>
      <w:r>
        <w:t>Measurable: Target: real recall above 30% for both LOW_FRICTION and HIGH_FRICTION at the next Gate 3 re-benchmark (e.g. via class weighting adjustments, threshold tuning, or a resampling strategy), without materially reducing macro-F1 on the majority classes.</w:t>
      </w:r>
    </w:p>
    <w:p>
      <w:r>
        <w:t>Time-bound: Next BP2 Gate 3 re-benchmark cycle.</w:t>
      </w:r>
    </w:p>
    <w:p>
      <w:r>
        <w:t>Owner: ML engineering owner - assign.</w:t>
      </w:r>
    </w:p>
    <w:p>
      <w:pPr>
        <w:pStyle w:val="Heading2"/>
      </w:pPr>
      <w:r>
        <w:t>Increase SHAP sample size for more stable global explanations</w:t>
      </w:r>
    </w:p>
    <w:p>
      <w:r>
        <w:t>Specific: Gate 4 and Gate 5 independently computed SHAP importance from two different 150-row samples of real held-out data, and only 2/10 top terms overlapped — lower than BP1's equivalent 4/10 overlap, consistent with a structured-feature space having many more near-tied low-signal one-hot columns than BP1's TF-IDF vocabulary.</w:t>
      </w:r>
    </w:p>
    <w:p>
      <w:r>
        <w:t>Measurable: Target: overlap of 6/10 or higher at a larger, fixed sample size (re-run both gates with an increased SHAP_SAMPLE_SIZE and compare).</w:t>
      </w:r>
    </w:p>
    <w:p>
      <w:r>
        <w:t>Time-bound: Next explainability review cycle.</w:t>
      </w:r>
    </w:p>
    <w:p>
      <w:r>
        <w:t>Owner: Model risk / explainability owner - assign.</w:t>
      </w:r>
    </w:p>
    <w:p>
      <w:pPr>
        <w:pStyle w:val="Heading2"/>
      </w:pPr>
      <w:r>
        <w:t>Run the deferred Company public response leakage/predictive-value ablation</w:t>
      </w:r>
    </w:p>
    <w:p>
      <w:r>
        <w:t>Specific: `Company public response` (~54% null, real, live-checked at Gate 1) was deliberately excluded from Gate 3's feature set as an open item, never tested for leakage against the target or for genuine predictive value.</w:t>
      </w:r>
    </w:p>
    <w:p>
      <w:r>
        <w:t>Measurable: Target: a documented ablation run (with vs. without the field) reporting the real macro-F1 delta and a leakage-risk verdict, before it is ever added to the production feature set.</w:t>
      </w:r>
    </w:p>
    <w:p>
      <w:r>
        <w:t>Time-bound: Before any production feature-set change is proposed.</w:t>
      </w:r>
    </w:p>
    <w:p>
      <w:r>
        <w:t>Owner: ML engineering / compliance owner - assign.</w:t>
      </w:r>
    </w:p>
    <w:p>
      <w:pPr>
        <w:pStyle w:val="Heading2"/>
      </w:pPr>
      <w:r>
        <w:t>Expand grounded reason-code coverage beyond the current SHAP sample bound</w:t>
      </w:r>
    </w:p>
    <w:p>
      <w:r>
        <w:t>Specific: Only 150 of 163,344 real decision records (0.09%) currently carry a grounded per-instance reason code, bounded by the 150-row SHAP sample size for laptop safety — a much thinner relative real coverage than BP1's 150/3,080 (4.9%) on the same sample-size bound, simply because BP2's real held-out test set (163,344 rows) is ~53x larger.</w:t>
      </w:r>
    </w:p>
    <w:p>
      <w:r>
        <w:t>Measurable: Target: 100% reason-code coverage once compute budget allows removing the sample bound, or a documented, deliberate sampling policy (e.g. stratified by severity class) if full coverage is not pursued.</w:t>
      </w:r>
    </w:p>
    <w:p>
      <w:r>
        <w:t>Time-bound: Next Gate 5 hardening pass.</w:t>
      </w:r>
    </w:p>
    <w:p>
      <w:r>
        <w:t>Owner: ML engineering owner - assign.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