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E2761"/>
        </w:rPr>
        <w:t>BP4 — Customer Journey Analytics</w:t>
      </w:r>
    </w:p>
    <w:p>
      <w:pPr>
        <w:jc w:val="left"/>
      </w:pPr>
      <w:r>
        <w:t>Executive Rollup Report — Customer360 Navigator Enterprise Suite</w:t>
      </w:r>
    </w:p>
    <w:p>
      <w:pPr>
        <w:jc w:val="left"/>
      </w:pPr>
      <w:r>
        <w:rPr>
          <w:i/>
        </w:rPr>
        <w:t>Generated: 2026-09-23T15:18:29.558475+00:00</w:t>
      </w:r>
    </w:p>
    <w:p>
      <w:pPr>
        <w:jc w:val="left"/>
      </w:pPr>
      <w:r>
        <w:rPr>
          <w:b/>
          <w:color w:val="1B998B"/>
          <w:sz w:val="28"/>
        </w:rPr>
        <w:t>Recommended for Production: RECOMMENDED FOR PRODUCTION</w:t>
      </w:r>
    </w:p>
    <w:p>
      <w:pPr>
        <w:jc w:val="left"/>
      </w:pPr>
      <w:r>
        <w:t>All 6 gates real-run confirmed; every structural integrity check across all 6 gates passed (pytest 219 passed/0 failed, notebook-syntax audit all passed, 0 failed Gate 3 candidates, champion pipeline 'polars_lazy_streaming' consistent across Gate 3/Gate 4/Gate 6, real cluster count and row coverage consistent across Gate 1/2/5). Tier 2 (CONDITIONAL - GOVERNANCE REVIEW REQUIRED) is structurally unreachable for BP4: Gate 4's real ecoa_disparate_impact_applicability is NOT_APPLICABLE (BP4's issue-cluster key contains no ECOA/Reg B barred column and Master Plan Section 9 does not map ECOA/Reg B to BP4), so BP4 carries no disparate-impact check that could ever trigger Tier 2 — this differs from BP3, which does run that check and can land in Tier 2.</w:t>
      </w:r>
    </w:p>
    <w:p>
      <w:pPr>
        <w:pStyle w:val="Heading1"/>
        <w:jc w:val="left"/>
      </w:pPr>
      <w:r>
        <w:t>Executive Summary — Real KPIs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Champion aggregation pipeline (Gate 3, real)</w:t>
            </w:r>
          </w:p>
        </w:tc>
        <w:tc>
          <w:tcPr>
            <w:tcW w:type="dxa" w:w="4320"/>
          </w:tcPr>
          <w:p>
            <w:r>
              <w:t>polars_lazy_streaming</w:t>
            </w:r>
          </w:p>
        </w:tc>
      </w:tr>
      <w:tr>
        <w:tc>
          <w:tcPr>
            <w:tcW w:type="dxa" w:w="4320"/>
          </w:tcPr>
          <w:p>
            <w:r>
              <w:t>Real speedup over baseline</w:t>
            </w:r>
          </w:p>
        </w:tc>
        <w:tc>
          <w:tcPr>
            <w:tcW w:type="dxa" w:w="4320"/>
          </w:tcPr>
          <w:p>
            <w:r>
              <w:t>29.51x (3.0671s -&gt; 0.1039s)</w:t>
            </w:r>
          </w:p>
        </w:tc>
      </w:tr>
      <w:tr>
        <w:tc>
          <w:tcPr>
            <w:tcW w:type="dxa" w:w="4320"/>
          </w:tcPr>
          <w:p>
            <w:r>
              <w:t>Champion matches Gate 2 production pipeline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Real journey-event row count</w:t>
            </w:r>
          </w:p>
        </w:tc>
        <w:tc>
          <w:tcPr>
            <w:tcW w:type="dxa" w:w="4320"/>
          </w:tcPr>
          <w:p>
            <w:r>
              <w:t>1,048,575</w:t>
            </w:r>
          </w:p>
        </w:tc>
      </w:tr>
      <w:tr>
        <w:tc>
          <w:tcPr>
            <w:tcW w:type="dxa" w:w="4320"/>
          </w:tcPr>
          <w:p>
            <w:r>
              <w:t>Real issue-cluster count</w:t>
            </w:r>
          </w:p>
        </w:tc>
        <w:tc>
          <w:tcPr>
            <w:tcW w:type="dxa" w:w="4320"/>
          </w:tcPr>
          <w:p>
            <w:r>
              <w:t>37,160</w:t>
            </w:r>
          </w:p>
        </w:tc>
      </w:tr>
      <w:tr>
        <w:tc>
          <w:tcPr>
            <w:tcW w:type="dxa" w:w="4320"/>
          </w:tcPr>
          <w:p>
            <w:r>
              <w:t>Real recurring-cluster rate</w:t>
            </w:r>
          </w:p>
        </w:tc>
        <w:tc>
          <w:tcPr>
            <w:tcW w:type="dxa" w:w="4320"/>
          </w:tcPr>
          <w:p>
            <w:r>
              <w:t>41.85%</w:t>
            </w:r>
          </w:p>
        </w:tc>
      </w:tr>
      <w:tr>
        <w:tc>
          <w:tcPr>
            <w:tcW w:type="dxa" w:w="4320"/>
          </w:tcPr>
          <w:p>
            <w:r>
              <w:t>Mean response lag (days, real, 95% bootstrap CI)</w:t>
            </w:r>
          </w:p>
        </w:tc>
        <w:tc>
          <w:tcPr>
            <w:tcW w:type="dxa" w:w="4320"/>
          </w:tcPr>
          <w:p>
            <w:r>
              <w:t>0.4652 [0.4573, 0.4737]</w:t>
            </w:r>
          </w:p>
        </w:tc>
      </w:tr>
      <w:tr>
        <w:tc>
          <w:tcPr>
            <w:tcW w:type="dxa" w:w="4320"/>
          </w:tcPr>
          <w:p>
            <w:r>
              <w:t>BANKING77-derived coverage (real)</w:t>
            </w:r>
          </w:p>
        </w:tc>
        <w:tc>
          <w:tcPr>
            <w:tcW w:type="dxa" w:w="4320"/>
          </w:tcPr>
          <w:p>
            <w:r>
              <w:t>6.55%</w:t>
            </w:r>
          </w:p>
        </w:tc>
      </w:tr>
      <w:tr>
        <w:tc>
          <w:tcPr>
            <w:tcW w:type="dxa" w:w="4320"/>
          </w:tcPr>
          <w:p>
            <w:r>
              <w:t>Real total rows covered by Gate 5 tier rollup</w:t>
            </w:r>
          </w:p>
        </w:tc>
        <w:tc>
          <w:tcPr>
            <w:tcW w:type="dxa" w:w="4320"/>
          </w:tcPr>
          <w:p>
            <w:r>
              <w:t>1,048,575</w:t>
            </w:r>
          </w:p>
        </w:tc>
      </w:tr>
      <w:tr>
        <w:tc>
          <w:tcPr>
            <w:tcW w:type="dxa" w:w="4320"/>
          </w:tcPr>
          <w:p>
            <w:r>
              <w:t>Total rows match Gate 1 (real)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ECOA/Reg B disparate-impact applicability</w:t>
            </w:r>
          </w:p>
        </w:tc>
        <w:tc>
          <w:tcPr>
            <w:tcW w:type="dxa" w:w="4320"/>
          </w:tcPr>
          <w:p>
            <w:r>
              <w:t>NOT_APPLICABLE</w:t>
            </w:r>
          </w:p>
        </w:tc>
      </w:tr>
      <w:tr>
        <w:tc>
          <w:tcPr>
            <w:tcW w:type="dxa" w:w="4320"/>
          </w:tcPr>
          <w:p>
            <w:r>
              <w:t>pytest</w:t>
            </w:r>
          </w:p>
        </w:tc>
        <w:tc>
          <w:tcPr>
            <w:tcW w:type="dxa" w:w="4320"/>
          </w:tcPr>
          <w:p>
            <w:r>
              <w:t>219 passed / 0 failed</w:t>
            </w:r>
          </w:p>
        </w:tc>
      </w:tr>
      <w:tr>
        <w:tc>
          <w:tcPr>
            <w:tcW w:type="dxa" w:w="4320"/>
          </w:tcPr>
          <w:p>
            <w:r>
              <w:t>Governance gates complete</w:t>
            </w:r>
          </w:p>
        </w:tc>
        <w:tc>
          <w:tcPr>
            <w:tcW w:type="dxa" w:w="4320"/>
          </w:tcPr>
          <w:p>
            <w:r>
              <w:t>6/6</w:t>
            </w:r>
          </w:p>
        </w:tc>
      </w:tr>
    </w:tbl>
    <w:p>
      <w:pPr>
        <w:pStyle w:val="Heading1"/>
        <w:jc w:val="left"/>
      </w:pPr>
      <w:r>
        <w:t>Gate 1 — Business Understanding &amp; Policy (real)</w:t>
      </w:r>
    </w:p>
    <w:p>
      <w:pPr>
        <w:jc w:val="left"/>
      </w:pPr>
      <w:r>
        <w:t>BP4 is event/issue journey analytics, never customer/longitudinal journey analytics - stated in every BP4 deliverable from Gate 1 forward, per Master Plan Section 5.1/7's own explicit instruction for BP4.</w:t>
      </w:r>
    </w:p>
    <w:p>
      <w:pPr>
        <w:jc w:val="left"/>
      </w:pPr>
      <w:r>
        <w:t>Unit 1 (complaint-event journey): Row-level, keyed by the real 'Complaint ID' (live-verified 1:1 with rows). A real two-step event sequence: 'Date received' -&gt; 'Date sent to company', with a real computed 'response_lag_days' duration and a real terminal state ('Company response to consumer', 'Timely response?').</w:t>
      </w:r>
    </w:p>
    <w:p>
      <w:pPr>
        <w:jc w:val="left"/>
      </w:pPr>
      <w:r>
        <w:t>Unit 2 (issue-cluster journey): Aggregate-level, keyed by the real, disclosed (Company, Product, Sub-product, Issue, Sub-issue) combination, ordered by 'Date received' into a real monthly complaint-volume time series per cluster - the Master Plan's 'repeat-contact/bottleneck' signal, explicitly redefined as a recurring-issue-cluster signal, never a customer's own repeat-contact count.</w:t>
      </w:r>
    </w:p>
    <w:p>
      <w:pPr>
        <w:jc w:val="left"/>
      </w:pPr>
      <w:r>
        <w:t>Real CFPB row count (live check): 1,048,575 — Complaint ID confirmed a unique event identifier: True.</w:t>
      </w:r>
    </w:p>
    <w:p>
      <w:pPr>
        <w:jc w:val="left"/>
      </w:pPr>
      <w:r>
        <w:t>Real response_lag_days distribution: mean=0.4652, median=0.0, max=544, 0 negative / 0 null values.</w:t>
      </w:r>
    </w:p>
    <w:p>
      <w:pPr>
        <w:pStyle w:val="Heading2"/>
        <w:jc w:val="left"/>
      </w:pPr>
      <w:r>
        <w:t>Compliance touchpoint</w:t>
      </w:r>
    </w:p>
    <w:p>
      <w:pPr>
        <w:jc w:val="left"/>
      </w:pPr>
      <w:r>
        <w:t>BP4's primary journey-grouping key (Company, Product, Sub-product, Issue, Sub-issue) is CFPB's own real product/issue/sub-issue schema, used as-is, with no fabricated outcomes anywhere. Two real dataset limitations are stated plainly rather than left implicit: (1) no customer/consumer identifier exists in this extract, so every 'repeat-contact' or 'journey' claim in BP4's deliverables is an issue-cluster-level signal, never a per-person claim; (2) the Gold-layer BANKING77-derived taxonomy overlay real-covers only 6.55% of rows, so it is never presented as a population-level view of customer intent across the full real dataset.</w:t>
      </w:r>
    </w:p>
    <w:p>
      <w:pPr>
        <w:pStyle w:val="Heading2"/>
        <w:jc w:val="left"/>
      </w:pPr>
      <w:r>
        <w:t>Scope boundaries (real)</w:t>
      </w:r>
    </w:p>
    <w:p>
      <w:pPr>
        <w:pStyle w:val="ListBullet"/>
        <w:jc w:val="left"/>
      </w:pPr>
      <w:r>
        <w:t>'Complaint ID' identifies one real complaint (one event), never a person - must never be described, here or downstream, as a customer identifier.</w:t>
      </w:r>
    </w:p>
    <w:p>
      <w:pPr>
        <w:pStyle w:val="ListBullet"/>
        <w:jc w:val="left"/>
      </w:pPr>
      <w:r>
        <w:t>'Tags' is barred from every BP4 journey-grouping key - ECOA/Reg B is not a BP4 compliance touchpoint per Master Plan Section 9 (mapped to BP1, BP2, BP3, BP7 only), but this is kept as a conservative scope decision anyway, HYPER-consistent with BP1-BP3's own precedent of barring 'Tags' from any grouping/feature key.</w:t>
      </w:r>
    </w:p>
    <w:p>
      <w:pPr>
        <w:pStyle w:val="ListBullet"/>
        <w:jc w:val="left"/>
      </w:pPr>
      <w:r>
        <w:t>'ZIP code' is barred from every BP4 journey-grouping key - a fine-grained quasi-identifier (BP2/BP3's own BARRED_COLUMNS precedent); 'State' (coarser, already used as a plain categorical field by BP1-BP3) is the only geographic dimension BP4 may use.</w:t>
      </w:r>
    </w:p>
    <w:p>
      <w:pPr>
        <w:pStyle w:val="ListBullet"/>
        <w:jc w:val="left"/>
      </w:pPr>
      <w:r>
        <w:t>No BP4 gate may construct, infer, or approximate a persistent customer/consumer identifier from any combination of real fields (ZIP code + Company + Product + Issue + Date received or otherwise) - the issue-cluster journey (unit 2 above) is the only sanctioned aggregate-level grouping.</w:t>
      </w:r>
    </w:p>
    <w:p>
      <w:pPr>
        <w:pStyle w:val="ListBullet"/>
        <w:jc w:val="left"/>
      </w:pPr>
      <w:r>
        <w:t>No BP4 gate may run BP1's text-intent classifier against CFPB rows - this real extract carries no narrative-text column (live-verified in Section 4); the Gold-layer 'common_taxonomy_bucket' overlay (already computed) is the only sanctioned BANKING77-derived signal, used only for its real in-scope subset.</w:t>
      </w:r>
    </w:p>
    <w:p>
      <w:pPr>
        <w:pStyle w:val="Heading2"/>
        <w:jc w:val="left"/>
      </w:pPr>
      <w:r>
        <w:t>Assumptions documented at Gate 1 (real)</w:t>
      </w:r>
    </w:p>
    <w:p>
      <w:pPr>
        <w:pStyle w:val="ListBullet"/>
        <w:jc w:val="left"/>
      </w:pPr>
      <w:r>
        <w:t>This real CFPB extract carries no customer/consumer identifier of any kind (live-verified in Section 4, consistent with every prior BP1-BP3 Gate 1 finding on the same schema) - BP4's scope is built around this fact from Gate 1 forward, not worked around later.</w:t>
      </w:r>
    </w:p>
    <w:p>
      <w:pPr>
        <w:pStyle w:val="ListBullet"/>
        <w:jc w:val="left"/>
      </w:pPr>
      <w:r>
        <w:t>'Complaint ID' is a real, unique event identifier (live-verified 1:1 with rows in Section 4) - safe to use as the complaint-event journey's key, never as a person key.</w:t>
      </w:r>
    </w:p>
    <w:p>
      <w:pPr>
        <w:pStyle w:val="ListBullet"/>
        <w:jc w:val="left"/>
      </w:pPr>
      <w:r>
        <w:t>The (Company, Product, Sub-product, Issue, Sub-issue) issue-cluster key is real-data-supported: 37,160 real distinct clusters, 41.85% of which recur, covering 97.94% of all real rows (Section 6) - a well-supported aggregate signal, not a sparse or forced one.</w:t>
      </w:r>
    </w:p>
    <w:p>
      <w:pPr>
        <w:pStyle w:val="ListBullet"/>
        <w:jc w:val="left"/>
      </w:pPr>
      <w:r>
        <w:t>The Gold-layer 'common_taxonomy_bucket' column real-covers only 6.55% of rows (Section 5) - used as an optional secondary overlay only, never as BP4's primary journey-grouping dimension.</w:t>
      </w:r>
    </w:p>
    <w:p>
      <w:pPr>
        <w:pStyle w:val="ListBullet"/>
        <w:jc w:val="left"/>
      </w:pPr>
      <w:r>
        <w:t>'response_lag_days' (Date sent to company - Date received) is safe for BP4 to use directly, unlike BP3's Gate 1 barring of the same two Date fields: BP3 barred them as a predictive-leakage risk against a supervised target BP4 does not have. BP4 has no supervised target for this duration to leak into - it is reported descriptively, not used to predict 'Company response to consumer' or 'Timely response?'.</w:t>
      </w:r>
    </w:p>
    <w:p>
      <w:pPr>
        <w:pStyle w:val="ListBullet"/>
        <w:jc w:val="left"/>
      </w:pPr>
      <w:r>
        <w:t>src/utils/bp1_config_sync.py is reused unmodified for BP4's own config file - already fully generic, parameterized by config_path, no BP1-specific logic (already reused unmodified by BP2 and BP3 too).</w:t>
      </w:r>
    </w:p>
    <w:p>
      <w:pPr>
        <w:pStyle w:val="Heading1"/>
        <w:jc w:val="left"/>
      </w:pPr>
      <w:r>
        <w:t>Gate 3 — Aggregation-Pipeline Benchmark (real)</w:t>
      </w:r>
    </w:p>
    <w:p>
      <w:pPr>
        <w:jc w:val="left"/>
      </w:pPr>
      <w:r>
        <w:t>Champion selected by real measured wall-clock speed among 5 CORRECT candidates — never by a predictive metric (BP4 has no supervised target).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486400" cy="30387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876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candidate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min_seconds</w:t>
            </w:r>
          </w:p>
        </w:tc>
        <w:tc>
          <w:tcPr>
            <w:tcW w:type="dxa" w:w="1728"/>
          </w:tcPr>
          <w:p>
            <w:r>
              <w:t>mean_seconds</w:t>
            </w:r>
          </w:p>
        </w:tc>
        <w:tc>
          <w:tcPr>
            <w:tcW w:type="dxa" w:w="1728"/>
          </w:tcPr>
          <w:p>
            <w:r>
              <w:t>champion</w:t>
            </w:r>
          </w:p>
        </w:tc>
      </w:tr>
      <w:tr>
        <w:tc>
          <w:tcPr>
            <w:tcW w:type="dxa" w:w="1728"/>
          </w:tcPr>
          <w:p>
            <w:r>
              <w:t>pandas_groupby</w:t>
            </w:r>
          </w:p>
        </w:tc>
        <w:tc>
          <w:tcPr>
            <w:tcW w:type="dxa" w:w="1728"/>
          </w:tcPr>
          <w:p>
            <w:r>
              <w:t>CORRECT</w:t>
            </w:r>
          </w:p>
        </w:tc>
        <w:tc>
          <w:tcPr>
            <w:tcW w:type="dxa" w:w="1728"/>
          </w:tcPr>
          <w:p>
            <w:r>
              <w:t>3.067079</w:t>
            </w:r>
          </w:p>
        </w:tc>
        <w:tc>
          <w:tcPr>
            <w:tcW w:type="dxa" w:w="1728"/>
          </w:tcPr>
          <w:p>
            <w:r>
              <w:t>3.362423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polars_eager</w:t>
            </w:r>
          </w:p>
        </w:tc>
        <w:tc>
          <w:tcPr>
            <w:tcW w:type="dxa" w:w="1728"/>
          </w:tcPr>
          <w:p>
            <w:r>
              <w:t>CORRECT</w:t>
            </w:r>
          </w:p>
        </w:tc>
        <w:tc>
          <w:tcPr>
            <w:tcW w:type="dxa" w:w="1728"/>
          </w:tcPr>
          <w:p>
            <w:r>
              <w:t>0.108452</w:t>
            </w:r>
          </w:p>
        </w:tc>
        <w:tc>
          <w:tcPr>
            <w:tcW w:type="dxa" w:w="1728"/>
          </w:tcPr>
          <w:p>
            <w:r>
              <w:t>0.123225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polars_lazy</w:t>
            </w:r>
          </w:p>
        </w:tc>
        <w:tc>
          <w:tcPr>
            <w:tcW w:type="dxa" w:w="1728"/>
          </w:tcPr>
          <w:p>
            <w:r>
              <w:t>CORRECT</w:t>
            </w:r>
          </w:p>
        </w:tc>
        <w:tc>
          <w:tcPr>
            <w:tcW w:type="dxa" w:w="1728"/>
          </w:tcPr>
          <w:p>
            <w:r>
              <w:t>0.110692</w:t>
            </w:r>
          </w:p>
        </w:tc>
        <w:tc>
          <w:tcPr>
            <w:tcW w:type="dxa" w:w="1728"/>
          </w:tcPr>
          <w:p>
            <w:r>
              <w:t>0.118765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polars_lazy_streaming</w:t>
            </w:r>
          </w:p>
        </w:tc>
        <w:tc>
          <w:tcPr>
            <w:tcW w:type="dxa" w:w="1728"/>
          </w:tcPr>
          <w:p>
            <w:r>
              <w:t>CORRECT</w:t>
            </w:r>
          </w:p>
        </w:tc>
        <w:tc>
          <w:tcPr>
            <w:tcW w:type="dxa" w:w="1728"/>
          </w:tcPr>
          <w:p>
            <w:r>
              <w:t>0.103927</w:t>
            </w:r>
          </w:p>
        </w:tc>
        <w:tc>
          <w:tcPr>
            <w:tcW w:type="dxa" w:w="1728"/>
          </w:tcPr>
          <w:p>
            <w:r>
              <w:t>0.105410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duckdb_sql</w:t>
            </w:r>
          </w:p>
        </w:tc>
        <w:tc>
          <w:tcPr>
            <w:tcW w:type="dxa" w:w="1728"/>
          </w:tcPr>
          <w:p>
            <w:r>
              <w:t>CORRECT</w:t>
            </w:r>
          </w:p>
        </w:tc>
        <w:tc>
          <w:tcPr>
            <w:tcW w:type="dxa" w:w="1728"/>
          </w:tcPr>
          <w:p>
            <w:r>
              <w:t>0.240335</w:t>
            </w:r>
          </w:p>
        </w:tc>
        <w:tc>
          <w:tcPr>
            <w:tcW w:type="dxa" w:w="1728"/>
          </w:tcPr>
          <w:p>
            <w:r>
              <w:t>0.256269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1"/>
        <w:jc w:val="left"/>
      </w:pPr>
      <w:r>
        <w:t>Gate 4 — Statistical Validation (real, bootstrap CI)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29200" cy="22287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28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29200" cy="23335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3354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Real statistic</w:t>
            </w:r>
          </w:p>
        </w:tc>
        <w:tc>
          <w:tcPr>
            <w:tcW w:type="dxa" w:w="2160"/>
          </w:tcPr>
          <w:p>
            <w:r>
              <w:t>Point estimate</w:t>
            </w:r>
          </w:p>
        </w:tc>
        <w:tc>
          <w:tcPr>
            <w:tcW w:type="dxa" w:w="2160"/>
          </w:tcPr>
          <w:p>
            <w:r>
              <w:t>CI 95% low</w:t>
            </w:r>
          </w:p>
        </w:tc>
        <w:tc>
          <w:tcPr>
            <w:tcW w:type="dxa" w:w="2160"/>
          </w:tcPr>
          <w:p>
            <w:r>
              <w:t>CI 95% high</w:t>
            </w:r>
          </w:p>
        </w:tc>
      </w:tr>
      <w:tr>
        <w:tc>
          <w:tcPr>
            <w:tcW w:type="dxa" w:w="2160"/>
          </w:tcPr>
          <w:p>
            <w:r>
              <w:t>Mean response lag (days)</w:t>
            </w:r>
          </w:p>
        </w:tc>
        <w:tc>
          <w:tcPr>
            <w:tcW w:type="dxa" w:w="2160"/>
          </w:tcPr>
          <w:p>
            <w:r>
              <w:t>0.465227</w:t>
            </w:r>
          </w:p>
        </w:tc>
        <w:tc>
          <w:tcPr>
            <w:tcW w:type="dxa" w:w="2160"/>
          </w:tcPr>
          <w:p>
            <w:r>
              <w:t>0.457266</w:t>
            </w:r>
          </w:p>
        </w:tc>
        <w:tc>
          <w:tcPr>
            <w:tcW w:type="dxa" w:w="2160"/>
          </w:tcPr>
          <w:p>
            <w:r>
              <w:t>0.473726</w:t>
            </w:r>
          </w:p>
        </w:tc>
      </w:tr>
      <w:tr>
        <w:tc>
          <w:tcPr>
            <w:tcW w:type="dxa" w:w="2160"/>
          </w:tcPr>
          <w:p>
            <w:r>
              <w:t>In-scope minus out-of-scope lag difference (days)</w:t>
            </w:r>
          </w:p>
        </w:tc>
        <w:tc>
          <w:tcPr>
            <w:tcW w:type="dxa" w:w="2160"/>
          </w:tcPr>
          <w:p>
            <w:r>
              <w:t>1.376834</w:t>
            </w:r>
          </w:p>
        </w:tc>
        <w:tc>
          <w:tcPr>
            <w:tcW w:type="dxa" w:w="2160"/>
          </w:tcPr>
          <w:p>
            <w:r>
              <w:t>1.314826</w:t>
            </w:r>
          </w:p>
        </w:tc>
        <w:tc>
          <w:tcPr>
            <w:tcW w:type="dxa" w:w="2160"/>
          </w:tcPr>
          <w:p>
            <w:r>
              <w:t>1.435650</w:t>
            </w:r>
          </w:p>
        </w:tc>
      </w:tr>
      <w:tr>
        <w:tc>
          <w:tcPr>
            <w:tcW w:type="dxa" w:w="2160"/>
          </w:tcPr>
          <w:p>
            <w:r>
              <w:t>Recurring-cluster rate</w:t>
            </w:r>
          </w:p>
        </w:tc>
        <w:tc>
          <w:tcPr>
            <w:tcW w:type="dxa" w:w="2160"/>
          </w:tcPr>
          <w:p>
            <w:r>
              <w:t>0.418488</w:t>
            </w:r>
          </w:p>
        </w:tc>
        <w:tc>
          <w:tcPr>
            <w:tcW w:type="dxa" w:w="2160"/>
          </w:tcPr>
          <w:p>
            <w:r>
              <w:t>0.413348</w:t>
            </w:r>
          </w:p>
        </w:tc>
        <w:tc>
          <w:tcPr>
            <w:tcW w:type="dxa" w:w="2160"/>
          </w:tcPr>
          <w:p>
            <w:r>
              <w:t>0.423334</w:t>
            </w:r>
          </w:p>
        </w:tc>
      </w:tr>
      <w:tr>
        <w:tc>
          <w:tcPr>
            <w:tcW w:type="dxa" w:w="2160"/>
          </w:tcPr>
          <w:p>
            <w:r>
              <w:t>Mean cluster size</w:t>
            </w:r>
          </w:p>
        </w:tc>
        <w:tc>
          <w:tcPr>
            <w:tcW w:type="dxa" w:w="2160"/>
          </w:tcPr>
          <w:p>
            <w:r>
              <w:t>28.217842</w:t>
            </w:r>
          </w:p>
        </w:tc>
        <w:tc>
          <w:tcPr>
            <w:tcW w:type="dxa" w:w="2160"/>
          </w:tcPr>
          <w:p>
            <w:r>
              <w:t>21.003662</w:t>
            </w:r>
          </w:p>
        </w:tc>
        <w:tc>
          <w:tcPr>
            <w:tcW w:type="dxa" w:w="2160"/>
          </w:tcPr>
          <w:p>
            <w:r>
              <w:t>36.866513</w:t>
            </w:r>
          </w:p>
        </w:tc>
      </w:tr>
    </w:tbl>
    <w:p>
      <w:pPr>
        <w:jc w:val="left"/>
      </w:pPr>
      <w:r>
        <w:t>n_bootstrap=1,000 resamples. Reproducibility confirmed (Gate 4 real re-run comparison): True. ECOA/Reg B disparate-impact applicability: NOT_APPLICABLE — BP4's issue-cluster key contains no barred column (no_barred_column_in_cluster_key=True).</w:t>
      </w:r>
    </w:p>
    <w:p>
      <w:pPr>
        <w:pStyle w:val="Heading1"/>
        <w:jc w:val="left"/>
      </w:pPr>
      <w:r>
        <w:t>Gate 5 — Issue-Cluster Review-Priority Tier Rollup (real)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486400" cy="24766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665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Tier</w:t>
            </w:r>
          </w:p>
        </w:tc>
        <w:tc>
          <w:tcPr>
            <w:tcW w:type="dxa" w:w="2160"/>
          </w:tcPr>
          <w:p>
            <w:r>
              <w:t>n_clusters</w:t>
            </w:r>
          </w:p>
        </w:tc>
        <w:tc>
          <w:tcPr>
            <w:tcW w:type="dxa" w:w="2160"/>
          </w:tcPr>
          <w:p>
            <w:r>
              <w:t>n_complaint_rows_covered</w:t>
            </w:r>
          </w:p>
        </w:tc>
        <w:tc>
          <w:tcPr>
            <w:tcW w:type="dxa" w:w="2160"/>
          </w:tcPr>
          <w:p>
            <w:r>
              <w:t>mean BANKING77 coverage</w:t>
            </w:r>
          </w:p>
        </w:tc>
      </w:tr>
      <w:tr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2,284</w:t>
            </w:r>
          </w:p>
        </w:tc>
        <w:tc>
          <w:tcPr>
            <w:tcW w:type="dxa" w:w="2160"/>
          </w:tcPr>
          <w:p>
            <w:r>
              <w:t>94,410</w:t>
            </w:r>
          </w:p>
        </w:tc>
        <w:tc>
          <w:tcPr>
            <w:tcW w:type="dxa" w:w="2160"/>
          </w:tcPr>
          <w:p>
            <w:r>
              <w:t>0.3279</w:t>
            </w:r>
          </w:p>
        </w:tc>
      </w:tr>
      <w:tr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4,920</w:t>
            </w:r>
          </w:p>
        </w:tc>
        <w:tc>
          <w:tcPr>
            <w:tcW w:type="dxa" w:w="2160"/>
          </w:tcPr>
          <w:p>
            <w:r>
              <w:t>906,612</w:t>
            </w:r>
          </w:p>
        </w:tc>
        <w:tc>
          <w:tcPr>
            <w:tcW w:type="dxa" w:w="2160"/>
          </w:tcPr>
          <w:p>
            <w:r>
              <w:t>0.2915</w:t>
            </w:r>
          </w:p>
        </w:tc>
      </w:tr>
      <w:tr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12,033</w:t>
            </w:r>
          </w:p>
        </w:tc>
        <w:tc>
          <w:tcPr>
            <w:tcW w:type="dxa" w:w="2160"/>
          </w:tcPr>
          <w:p>
            <w:r>
              <w:t>29,630</w:t>
            </w:r>
          </w:p>
        </w:tc>
        <w:tc>
          <w:tcPr>
            <w:tcW w:type="dxa" w:w="2160"/>
          </w:tcPr>
          <w:p>
            <w:r>
              <w:t>0.2349</w:t>
            </w:r>
          </w:p>
        </w:tc>
      </w:tr>
      <w:tr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17,923</w:t>
            </w:r>
          </w:p>
        </w:tc>
        <w:tc>
          <w:tcPr>
            <w:tcW w:type="dxa" w:w="2160"/>
          </w:tcPr>
          <w:p>
            <w:r>
              <w:t>17,923</w:t>
            </w:r>
          </w:p>
        </w:tc>
        <w:tc>
          <w:tcPr>
            <w:tcW w:type="dxa" w:w="2160"/>
          </w:tcPr>
          <w:p>
            <w:r>
              <w:t>0.2066</w:t>
            </w:r>
          </w:p>
        </w:tc>
      </w:tr>
    </w:tbl>
    <w:p>
      <w:pPr>
        <w:jc w:val="left"/>
      </w:pPr>
      <w:r>
        <w:t>n_with_reason_codes=19,237 / n_clusters_reported=37,160, grounding_failures=0. Real total rows covered (1,048,575) matches Gate 1's journey_row_count: True.</w:t>
      </w:r>
    </w:p>
    <w:p>
      <w:pPr>
        <w:pStyle w:val="Heading2"/>
        <w:jc w:val="left"/>
      </w:pPr>
      <w:r>
        <w:t>Monthly Complaint-Volume Trend (real, live-aggregated)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486400" cy="217085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70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jc w:val="left"/>
      </w:pPr>
      <w:r>
        <w:t>Gate 6 — Governance &amp; Known Limitations (real)</w:t>
      </w:r>
    </w:p>
    <w:p>
      <w:pPr>
        <w:jc w:val="left"/>
      </w:pPr>
      <w:r>
        <w:t>pytest suite: 219 passed / 0 failed (skipped 5). Notebook syntax audit: 34/34 passed.</w:t>
      </w:r>
    </w:p>
    <w:p>
      <w:pPr>
        <w:jc w:val="left"/>
      </w:pPr>
      <w:r>
        <w:t>Open items — Gate 3 candidate-level issues detected live: 0 outright failure(s), 2 slow-but-correct candidate(s) (pandas_groupby, duckdb_sql).</w:t>
      </w:r>
    </w:p>
    <w:p>
      <w:pPr>
        <w:jc w:val="left"/>
      </w:pPr>
      <w:r>
        <w:t>Model card: reports\bp4_customer_journey_analytics\MODEL_CARD.md | Changelog: reports\bp4_customer_journey_analytics\CHANGELOG.md</w:t>
      </w:r>
    </w:p>
    <w:p>
      <w:pPr>
        <w:jc w:val="left"/>
      </w:pPr>
      <w:r>
        <w:t>Model inventory (SR 11-7) applicability: NOT_APPLICABLE - BP4 registers no trained model — BP4 registers no trained model, only this benchmarked aggregation/reporting pipeline.</w:t>
      </w:r>
    </w:p>
    <w:p>
      <w:pPr>
        <w:pStyle w:val="Heading1"/>
        <w:jc w:val="left"/>
      </w:pPr>
      <w:r>
        <w:t>SMART Suggestions</w:t>
      </w:r>
    </w:p>
    <w:p>
      <w:pPr>
        <w:pStyle w:val="Heading2"/>
        <w:jc w:val="left"/>
      </w:pPr>
      <w:r>
        <w:t>Prioritize real HIGH-tier issue clusters for human review first</w:t>
      </w:r>
    </w:p>
    <w:p>
      <w:pPr>
        <w:jc w:val="left"/>
      </w:pPr>
      <w:r>
        <w:t>Specific: 2,284 real issue clusters carry a HIGH review-priority tier (recurring + elevated-lag + high-volume flags all triggered), covering 94,410 real complaint rows — the smallest cluster count of the four tiers but the one carrying every real risk signal at once. By contrast, the MEDIUM tier's 4,920 clusters cover 906,612 real rows — most of BP4's real row volume sits in a smaller number of large MEDIUM-tier clusters, so review capacity should weight HIGH first by risk density but not ignore MEDIUM's real row-volume concentration. Route HIGH to human review before MEDIUM/LOW.</w:t>
      </w:r>
    </w:p>
    <w:p>
      <w:pPr>
        <w:jc w:val="left"/>
      </w:pPr>
      <w:r>
        <w:t>Measurable: 2,284 clusters / 94,410 rows (real Gate 5 tier rollup).</w:t>
      </w:r>
    </w:p>
    <w:p>
      <w:pPr>
        <w:jc w:val="left"/>
      </w:pPr>
      <w:r>
        <w:t>Time-bound: Before the next BP4 data refresh.</w:t>
      </w:r>
    </w:p>
    <w:p>
      <w:pPr>
        <w:jc w:val="left"/>
      </w:pPr>
      <w:r>
        <w:t>Owner: [Assign: Complaint Operations Lead]</w:t>
      </w:r>
    </w:p>
    <w:p>
      <w:pPr>
        <w:pStyle w:val="Heading2"/>
        <w:jc w:val="left"/>
      </w:pPr>
      <w:r>
        <w:t>Reconcile Gate 3's real champion with Gate 2's production pipeline</w:t>
      </w:r>
    </w:p>
    <w:p>
      <w:pPr>
        <w:jc w:val="left"/>
      </w:pPr>
      <w:r>
        <w:t>Specific: Gate 3's real full-scale benchmark champion is 'polars_lazy_streaming' (min_seconds=0.103927), which differs from Gate 2's own already-confirmed production implementation 'polars_lazy' (champion_matches_current_production_implementation=False). This is logged as a Gate 6 recommendation, not retroactively applied to Gate 2's already-confirmed output, per the project's standing discipline against rewriting already-closed gates.</w:t>
      </w:r>
    </w:p>
    <w:p>
      <w:pPr>
        <w:jc w:val="left"/>
      </w:pPr>
      <w:r>
        <w:t>Measurable: Real speedup if adopted: 29.51x over the baseline (pandas_groupby, 3.067079s).</w:t>
      </w:r>
    </w:p>
    <w:p>
      <w:pPr>
        <w:jc w:val="left"/>
      </w:pPr>
      <w:r>
        <w:t>Time-bound: At BP4's next scheduled Gate 2 pipeline review.</w:t>
      </w:r>
    </w:p>
    <w:p>
      <w:pPr>
        <w:jc w:val="left"/>
      </w:pPr>
      <w:r>
        <w:t>Owner: [Assign: Data Engineering Lead]</w:t>
      </w:r>
    </w:p>
    <w:p>
      <w:pPr>
        <w:pStyle w:val="Heading2"/>
        <w:jc w:val="left"/>
      </w:pPr>
      <w:r>
        <w:t>Expand BANKING77-derived taxonomy coverage beyond its current 6.55%</w:t>
      </w:r>
    </w:p>
    <w:p>
      <w:pPr>
        <w:jc w:val="left"/>
      </w:pPr>
      <w:r>
        <w:t>Specific: The Gold-layer common_taxonomy_bucket overlay real-covers only 68,710 of 1,048,575 real rows (6.55%), limiting how much of BP4's real issue-cluster population can be cross-referenced against BANKING77 intent categories in Gate 5's tier reporting.</w:t>
      </w:r>
    </w:p>
    <w:p>
      <w:pPr>
        <w:jc w:val="left"/>
      </w:pPr>
      <w:r>
        <w:t>Measurable: Raise real in-scope coverage above 6.55% without changing BANKING77's own 77-class scope.</w:t>
      </w:r>
    </w:p>
    <w:p>
      <w:pPr>
        <w:jc w:val="left"/>
      </w:pPr>
      <w:r>
        <w:t>Time-bound: Coordinate with BP1's taxonomy-mapping owner next quarter.</w:t>
      </w:r>
    </w:p>
    <w:p>
      <w:pPr>
        <w:jc w:val="left"/>
      </w:pPr>
      <w:r>
        <w:t>Owner: [Assign: Taxonomy/Intent Classification Lead]</w:t>
      </w:r>
    </w:p>
    <w:p>
      <w:pPr>
        <w:pStyle w:val="Heading2"/>
        <w:jc w:val="left"/>
      </w:pPr>
      <w:r>
        <w:t>Feed Gate 5's review_priority_score/tier into BP7's cross-BP decision engine as one real input</w:t>
      </w:r>
    </w:p>
    <w:p>
      <w:pPr>
        <w:jc w:val="left"/>
      </w:pPr>
      <w:r>
        <w:t>Specific: Gate 5's own compliance note (bp7_decision_engine_boundary) states this BP4-local reporting flag may become one real input BP7's cross-BP priority + intervention-risk decision engine later combines with BP1-BP5's own outputs — never presented as BP7's own decision on its own.</w:t>
      </w:r>
    </w:p>
    <w:p>
      <w:pPr>
        <w:jc w:val="left"/>
      </w:pPr>
      <w:r>
        <w:t>Measurable: 19,237 of 37,160 real clusters carry grounded reason codes, ready to be combined.</w:t>
      </w:r>
    </w:p>
    <w:p>
      <w:pPr>
        <w:jc w:val="left"/>
      </w:pPr>
      <w:r>
        <w:t>Time-bound: When BP7 begins its own Gate 2 (input integration).</w:t>
      </w:r>
    </w:p>
    <w:p>
      <w:pPr>
        <w:jc w:val="left"/>
      </w:pPr>
      <w:r>
        <w:t>Owner: [Assign: BP7 Decision-Engine Owner]</w:t>
      </w:r>
    </w:p>
    <w:p>
      <w:pPr>
        <w:pStyle w:val="Heading2"/>
        <w:jc w:val="left"/>
      </w:pPr>
      <w:r>
        <w:t>Re-benchmark the real slow-but-correct Gate 3 candidates against future data growth</w:t>
      </w:r>
    </w:p>
    <w:p>
      <w:pPr>
        <w:jc w:val="left"/>
      </w:pPr>
      <w:r>
        <w:t>Specific: pandas_groupby, duckdb_sql passed correctness but real min_seconds exceeded 2.0x the champion's own real min_seconds (0.103927s) — expected variation across execution-engine designs at this row count, not a defect, but worth re-checking as the real dataset grows past 1,048,575 rows, where the ranking can shift.</w:t>
      </w:r>
    </w:p>
    <w:p>
      <w:pPr>
        <w:jc w:val="left"/>
      </w:pPr>
      <w:r>
        <w:t>Measurable: 2 real candidate(s) flagged this run.</w:t>
      </w:r>
    </w:p>
    <w:p>
      <w:pPr>
        <w:jc w:val="left"/>
      </w:pPr>
      <w:r>
        <w:t>Time-bound: At the next full-scale BP4 Gate 3 re-run.</w:t>
      </w:r>
    </w:p>
    <w:p>
      <w:pPr>
        <w:jc w:val="left"/>
      </w:pPr>
      <w:r>
        <w:t>Owner: [Assign: Data Engineering Lead]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