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4"/>
          <w:szCs w:val="44"/>
        </w:rPr>
        <w:t xml:space="preserve">FRAUD DETECTION PLATFORM</w:t>
      </w:r>
    </w:p>
    <w:p>
      <w:pPr>
        <w:spacing w:after="100"/>
        <w:jc w:val="center"/>
      </w:pPr>
      <w:r>
        <w:rPr>
          <w:b/>
          <w:bCs/>
          <w:color w:val="2E74B5"/>
          <w:sz w:val="30"/>
          <w:szCs w:val="30"/>
        </w:rPr>
        <w:t xml:space="preserve">Final Master Project Plan &amp; Execution Playbook</w:t>
      </w:r>
    </w:p>
    <w:p>
      <w:pPr>
        <w:spacing w:after="600"/>
        <w:jc w:val="center"/>
      </w:pPr>
      <w:r>
        <w:rPr>
          <w:i/>
          <w:iCs/>
          <w:color w:val="555555"/>
          <w:sz w:val="22"/>
          <w:szCs w:val="22"/>
        </w:rPr>
        <w:t xml:space="preserve">Problem 1 of the Multi-Project Bank-Breadth Portfolio — Financial Crime &amp; Fraud Analytics</w:t>
      </w:r>
    </w:p>
    <w:p>
      <w:pPr>
        <w:spacing w:after="800"/>
        <w:jc w:val="center"/>
      </w:pPr>
      <w:r>
        <w:rPr>
          <w:color w:val="555555"/>
          <w:sz w:val="20"/>
          <w:szCs w:val="20"/>
        </w:rPr>
        <w:t xml:space="preserve">Built on the standing methodology proven in the AMEX RiskIQ Enterprise Credit Risk Platform and the Home Credit Risk Suite, upgraded with the 2026 top-tier bank regulatory and MLOps standards identified in the platform gap analysis.</w:t>
      </w:r>
    </w:p>
    <w:p>
      <w:pPr>
        <w:jc w:val="center"/>
      </w:pPr>
      <w:r>
        <w:rPr>
          <w:color w:val="888888"/>
          <w:sz w:val="20"/>
          <w:szCs w:val="20"/>
        </w:rPr>
        <w:t xml:space="preserve">Author: Nandagopal  |  Version 8.0  |  September 2026</w:t>
      </w:r>
    </w:p>
    <w:p>
      <w:pPr>
        <w:pageBreakBefore/>
      </w:pPr>
      <w:r>
        <w:br/>
        <w:t xml:space="preserve"/>
      </w:r>
    </w:p>
    <w:p>
      <w:pPr>
        <w:pStyle w:val="Heading1"/>
        <w:spacing w:after="200" w:before="400"/>
      </w:pPr>
      <w:r>
        <w:t xml:space="preserve">Revision Note (v2.0)</w:t>
      </w:r>
    </w:p>
    <w:p>
      <w:pPr>
        <w:spacing w:after="160"/>
      </w:pPr>
      <w:r>
        <w:t xml:space="preserve">Six additions were made in this revision — each one is genuinely 100% achievable from the real, already-verified dataset and established methodology, not a new assumption or an aspirational claim:</w:t>
      </w:r>
    </w:p>
    <w:p>
      <w:pPr>
        <w:pStyle w:val="ListParagraph"/>
        <w:numPr>
          <w:ilvl w:val="0"/>
          <w:numId w:val="2"/>
        </w:numPr>
        <w:spacing w:after="80"/>
      </w:pPr>
      <w:r>
        <w:t xml:space="preserve">Explicit duplicate-row investigation and handling decision (Section 2), instead of stating the count and moving on.</w:t>
      </w:r>
    </w:p>
    <w:p>
      <w:pPr>
        <w:pStyle w:val="ListParagraph"/>
        <w:numPr>
          <w:ilvl w:val="0"/>
          <w:numId w:val="2"/>
        </w:numPr>
        <w:spacing w:after="80"/>
      </w:pPr>
      <w:r>
        <w:t xml:space="preserve">Dataset attribution/citation to the original creators, required for honest sourcing and Kaggle/GitHub compliance (Section 2).</w:t>
      </w:r>
    </w:p>
    <w:p>
      <w:pPr>
        <w:pStyle w:val="ListParagraph"/>
        <w:numPr>
          <w:ilvl w:val="0"/>
          <w:numId w:val="2"/>
        </w:numPr>
        <w:spacing w:after="80"/>
      </w:pPr>
      <w:r>
        <w:t xml:space="preserve">Class-imbalance handling technique comparison — class weighting vs. threshold-moving vs. resampling — chosen by real experiment, not assumed (Section 6).</w:t>
      </w:r>
    </w:p>
    <w:p>
      <w:pPr>
        <w:pStyle w:val="ListParagraph"/>
        <w:numPr>
          <w:ilvl w:val="0"/>
          <w:numId w:val="2"/>
        </w:numPr>
        <w:spacing w:after="80"/>
      </w:pPr>
      <w:r>
        <w:t xml:space="preserve">A genuine temporal (time-based) train/test split alongside k-fold CV, using the dataset's real Time field — the same out-of-time discipline valued from Home Credit (Section 6).</w:t>
      </w:r>
    </w:p>
    <w:p>
      <w:pPr>
        <w:pStyle w:val="ListParagraph"/>
        <w:numPr>
          <w:ilvl w:val="0"/>
          <w:numId w:val="2"/>
        </w:numPr>
        <w:spacing w:after="80"/>
      </w:pPr>
      <w:r>
        <w:t xml:space="preserve">Bootstrap confidence intervals on the champion model's PR-AUC, not just a single point estimate (Section 6).</w:t>
      </w:r>
    </w:p>
    <w:p>
      <w:pPr>
        <w:pStyle w:val="ListParagraph"/>
        <w:numPr>
          <w:ilvl w:val="0"/>
          <w:numId w:val="2"/>
        </w:numPr>
        <w:spacing w:after="80"/>
      </w:pPr>
      <w:r>
        <w:t xml:space="preserve">An explicit Measured / Assumed / Out-of-Scope boundary for every financial-impact figure, plus a naive rule-based baseline comparison to quantify the model's real added value (Section 10).</w:t>
      </w:r>
    </w:p>
    <w:p>
      <w:pPr>
        <w:pStyle w:val="Heading1"/>
        <w:spacing w:after="200" w:before="400"/>
      </w:pPr>
      <w:r>
        <w:t xml:space="preserve">Revision Note (v3.0)</w:t>
      </w:r>
    </w:p>
    <w:p>
      <w:pPr>
        <w:spacing w:after="160"/>
      </w:pPr>
      <w:r>
        <w:t xml:space="preserve">v3.0 answers a direct question head-on: does this plan actually deliver a scalable, reusable, durable, production/deployment-ready, and continuous-improvement-ready package — or does it just claim to? The honest answer was partial. Section 17 was added to close the real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cantSplit/>
          <w:tblHeader/>
        </w:trP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1700"/>
            <w:shd w:fill="1F3864" w:color="auto" w:val="clear"/>
            <w:tcMar>
              <w:top w:type="dxa" w:w="80"/>
              <w:left w:type="dxa" w:w="120"/>
              <w:bottom w:type="dxa" w:w="80"/>
              <w:right w:type="dxa" w:w="120"/>
            </w:tcMar>
            <w:vAlign w:val="center"/>
          </w:tcPr>
          <w:p>
            <w:pPr>
              <w:jc w:val="left"/>
            </w:pPr>
            <w:r>
              <w:rPr>
                <w:b/>
                <w:bCs/>
                <w:color w:val="FFFFFF"/>
                <w:sz w:val="20"/>
                <w:szCs w:val="20"/>
              </w:rPr>
              <w:t xml:space="preserve">Before v3.0</w:t>
            </w:r>
          </w:p>
        </w:tc>
        <w:tc>
          <w:tcPr>
            <w:tcW w:type="dxa" w:w="5060"/>
            <w:shd w:fill="1F3864" w:color="auto" w:val="clear"/>
            <w:tcMar>
              <w:top w:type="dxa" w:w="80"/>
              <w:left w:type="dxa" w:w="120"/>
              <w:bottom w:type="dxa" w:w="80"/>
              <w:right w:type="dxa" w:w="120"/>
            </w:tcMar>
            <w:vAlign w:val="center"/>
          </w:tcPr>
          <w:p>
            <w:pPr>
              <w:jc w:val="left"/>
            </w:pPr>
            <w:r>
              <w:rPr>
                <w:b/>
                <w:bCs/>
                <w:color w:val="FFFFFF"/>
                <w:sz w:val="20"/>
                <w:szCs w:val="20"/>
              </w:rPr>
              <w:t xml:space="preserve">What Section 17 Adds</w:t>
            </w:r>
          </w:p>
        </w:tc>
      </w:tr>
      <w:tr>
        <w:trPr>
          <w:cantSplit/>
        </w:trPr>
        <w:tc>
          <w:tcPr>
            <w:tcW w:type="dxa" w:w="2600"/>
            <w:shd w:fill="F2F2F2" w:color="auto" w:val="clear"/>
            <w:tcMar>
              <w:top w:type="dxa" w:w="80"/>
              <w:left w:type="dxa" w:w="120"/>
              <w:bottom w:type="dxa" w:w="80"/>
              <w:right w:type="dxa" w:w="120"/>
            </w:tcMar>
            <w:vAlign w:val="center"/>
          </w:tcPr>
          <w:p>
            <w:pPr>
              <w:jc w:val="left"/>
            </w:pPr>
            <w:r>
              <w:rPr>
                <w:b w:val="false"/>
                <w:bCs w:val="false"/>
                <w:sz w:val="20"/>
                <w:szCs w:val="20"/>
              </w:rPr>
              <w:t xml:space="preserve">Scalable</w:t>
            </w:r>
          </w:p>
        </w:tc>
        <w:tc>
          <w:tcPr>
            <w:tcW w:type="dxa" w:w="1700"/>
            <w:shd w:fill="F2F2F2" w:color="auto" w:val="clear"/>
            <w:tcMar>
              <w:top w:type="dxa" w:w="80"/>
              <w:left w:type="dxa" w:w="120"/>
              <w:bottom w:type="dxa" w:w="80"/>
              <w:right w:type="dxa" w:w="120"/>
            </w:tcMar>
            <w:vAlign w:val="center"/>
          </w:tcPr>
          <w:p>
            <w:pPr>
              <w:jc w:val="left"/>
            </w:pPr>
            <w:r>
              <w:rPr>
                <w:b w:val="false"/>
                <w:bCs w:val="false"/>
                <w:sz w:val="20"/>
                <w:szCs w:val="20"/>
              </w:rPr>
              <w:t xml:space="preserve">Partial — WARP covers single-machine efficiency, not a documented capacity ceiling or scale-up path</w:t>
            </w:r>
          </w:p>
        </w:tc>
        <w:tc>
          <w:tcPr>
            <w:tcW w:type="dxa" w:w="5060"/>
            <w:shd w:fill="F2F2F2" w:color="auto" w:val="clear"/>
            <w:tcMar>
              <w:top w:type="dxa" w:w="80"/>
              <w:left w:type="dxa" w:w="120"/>
              <w:bottom w:type="dxa" w:w="80"/>
              <w:right w:type="dxa" w:w="120"/>
            </w:tcMar>
            <w:vAlign w:val="center"/>
          </w:tcPr>
          <w:p>
            <w:pPr>
              <w:jc w:val="left"/>
            </w:pPr>
            <w:r>
              <w:rPr>
                <w:b w:val="false"/>
                <w:bCs w:val="false"/>
                <w:sz w:val="20"/>
                <w:szCs w:val="20"/>
              </w:rPr>
              <w:t xml:space="preserve">17.1 — a real, measured single-node capacity ceiling and a documented (not yet adopted) scale-up path</w:t>
            </w:r>
          </w:p>
        </w:tc>
      </w:tr>
      <w:tr>
        <w:trPr>
          <w:cantSplit/>
        </w:trPr>
        <w:tc>
          <w:tcPr>
            <w:tcW w:type="dxa" w:w="2600"/>
            <w:shd w:fill="FFFFFF" w:color="auto" w:val="clear"/>
            <w:tcMar>
              <w:top w:type="dxa" w:w="80"/>
              <w:left w:type="dxa" w:w="120"/>
              <w:bottom w:type="dxa" w:w="80"/>
              <w:right w:type="dxa" w:w="120"/>
            </w:tcMar>
            <w:vAlign w:val="center"/>
          </w:tcPr>
          <w:p>
            <w:pPr>
              <w:jc w:val="left"/>
            </w:pPr>
            <w:r>
              <w:rPr>
                <w:b w:val="false"/>
                <w:bCs w:val="false"/>
                <w:sz w:val="20"/>
                <w:szCs w:val="20"/>
              </w:rPr>
              <w:t xml:space="preserve">Reusable</w:t>
            </w:r>
          </w:p>
        </w:tc>
        <w:tc>
          <w:tcPr>
            <w:tcW w:type="dxa" w:w="1700"/>
            <w:shd w:fill="FFFFFF" w:color="auto" w:val="clear"/>
            <w:tcMar>
              <w:top w:type="dxa" w:w="80"/>
              <w:left w:type="dxa" w:w="120"/>
              <w:bottom w:type="dxa" w:w="80"/>
              <w:right w:type="dxa" w:w="120"/>
            </w:tcMar>
            <w:vAlign w:val="center"/>
          </w:tcPr>
          <w:p>
            <w:pPr>
              <w:jc w:val="left"/>
            </w:pPr>
            <w:r>
              <w:rPr>
                <w:b w:val="false"/>
                <w:bCs w:val="false"/>
                <w:sz w:val="20"/>
                <w:szCs w:val="20"/>
              </w:rPr>
              <w:t xml:space="preserve">Partial — HYPER states the principle, but no concrete module list existed for this project</w:t>
            </w:r>
          </w:p>
        </w:tc>
        <w:tc>
          <w:tcPr>
            <w:tcW w:type="dxa" w:w="5060"/>
            <w:shd w:fill="FFFFFF" w:color="auto" w:val="clear"/>
            <w:tcMar>
              <w:top w:type="dxa" w:w="80"/>
              <w:left w:type="dxa" w:w="120"/>
              <w:bottom w:type="dxa" w:w="80"/>
              <w:right w:type="dxa" w:w="120"/>
            </w:tcMar>
            <w:vAlign w:val="center"/>
          </w:tcPr>
          <w:p>
            <w:pPr>
              <w:jc w:val="left"/>
            </w:pPr>
            <w:r>
              <w:rPr>
                <w:b w:val="false"/>
                <w:bCs w:val="false"/>
                <w:sz w:val="20"/>
                <w:szCs w:val="20"/>
              </w:rPr>
              <w:t xml:space="preserve">17.2 — a named inventory of exact modules this project must factor out for reuse</w:t>
            </w:r>
          </w:p>
        </w:tc>
      </w:tr>
      <w:tr>
        <w:trPr>
          <w:cantSplit/>
        </w:trPr>
        <w:tc>
          <w:tcPr>
            <w:tcW w:type="dxa" w:w="2600"/>
            <w:shd w:fill="F2F2F2" w:color="auto" w:val="clear"/>
            <w:tcMar>
              <w:top w:type="dxa" w:w="80"/>
              <w:left w:type="dxa" w:w="120"/>
              <w:bottom w:type="dxa" w:w="80"/>
              <w:right w:type="dxa" w:w="120"/>
            </w:tcMar>
            <w:vAlign w:val="center"/>
          </w:tcPr>
          <w:p>
            <w:pPr>
              <w:jc w:val="left"/>
            </w:pPr>
            <w:r>
              <w:rPr>
                <w:b w:val="false"/>
                <w:bCs w:val="false"/>
                <w:sz w:val="20"/>
                <w:szCs w:val="20"/>
              </w:rPr>
              <w:t xml:space="preserve">Durable</w:t>
            </w:r>
          </w:p>
        </w:tc>
        <w:tc>
          <w:tcPr>
            <w:tcW w:type="dxa" w:w="1700"/>
            <w:shd w:fill="F2F2F2" w:color="auto" w:val="clear"/>
            <w:tcMar>
              <w:top w:type="dxa" w:w="80"/>
              <w:left w:type="dxa" w:w="120"/>
              <w:bottom w:type="dxa" w:w="80"/>
              <w:right w:type="dxa" w:w="120"/>
            </w:tcMar>
            <w:vAlign w:val="center"/>
          </w:tcPr>
          <w:p>
            <w:pPr>
              <w:jc w:val="left"/>
            </w:pPr>
            <w:r>
              <w:rPr>
                <w:b w:val="false"/>
                <w:bCs w:val="false"/>
                <w:sz w:val="20"/>
                <w:szCs w:val="20"/>
              </w:rPr>
              <w:t xml:space="preserve">Partial — version-locking was mentioned, versioning/rollback policy was not</w:t>
            </w:r>
          </w:p>
        </w:tc>
        <w:tc>
          <w:tcPr>
            <w:tcW w:type="dxa" w:w="5060"/>
            <w:shd w:fill="F2F2F2" w:color="auto" w:val="clear"/>
            <w:tcMar>
              <w:top w:type="dxa" w:w="80"/>
              <w:left w:type="dxa" w:w="120"/>
              <w:bottom w:type="dxa" w:w="80"/>
              <w:right w:type="dxa" w:w="120"/>
            </w:tcMar>
            <w:vAlign w:val="center"/>
          </w:tcPr>
          <w:p>
            <w:pPr>
              <w:jc w:val="left"/>
            </w:pPr>
            <w:r>
              <w:rPr>
                <w:b w:val="false"/>
                <w:bCs w:val="false"/>
                <w:sz w:val="20"/>
                <w:szCs w:val="20"/>
              </w:rPr>
              <w:t xml:space="preserve">17.3 — explicit versioning, environment-pinning, and rollback policy</w:t>
            </w:r>
          </w:p>
        </w:tc>
      </w:tr>
      <w:tr>
        <w:trPr>
          <w:cantSplit/>
        </w:trPr>
        <w:tc>
          <w:tcPr>
            <w:tcW w:type="dxa" w:w="2600"/>
            <w:shd w:fill="FFFFFF" w:color="auto" w:val="clear"/>
            <w:tcMar>
              <w:top w:type="dxa" w:w="80"/>
              <w:left w:type="dxa" w:w="120"/>
              <w:bottom w:type="dxa" w:w="80"/>
              <w:right w:type="dxa" w:w="120"/>
            </w:tcMar>
            <w:vAlign w:val="center"/>
          </w:tcPr>
          <w:p>
            <w:pPr>
              <w:jc w:val="left"/>
            </w:pPr>
            <w:r>
              <w:rPr>
                <w:b w:val="false"/>
                <w:bCs w:val="false"/>
                <w:sz w:val="20"/>
                <w:szCs w:val="20"/>
              </w:rPr>
              <w:t xml:space="preserve">Production/Deployment-ready</w:t>
            </w:r>
          </w:p>
        </w:tc>
        <w:tc>
          <w:tcPr>
            <w:tcW w:type="dxa" w:w="1700"/>
            <w:shd w:fill="FFFFFF" w:color="auto" w:val="clear"/>
            <w:tcMar>
              <w:top w:type="dxa" w:w="80"/>
              <w:left w:type="dxa" w:w="120"/>
              <w:bottom w:type="dxa" w:w="80"/>
              <w:right w:type="dxa" w:w="120"/>
            </w:tcMar>
            <w:vAlign w:val="center"/>
          </w:tcPr>
          <w:p>
            <w:pPr>
              <w:jc w:val="left"/>
            </w:pPr>
            <w:r>
              <w:rPr>
                <w:b w:val="false"/>
                <w:bCs w:val="false"/>
                <w:sz w:val="20"/>
                <w:szCs w:val="20"/>
              </w:rPr>
              <w:t xml:space="preserve">Mostly covered (Sections 12, 14)</w:t>
            </w:r>
          </w:p>
        </w:tc>
        <w:tc>
          <w:tcPr>
            <w:tcW w:type="dxa" w:w="5060"/>
            <w:shd w:fill="FFFFFF" w:color="auto" w:val="clear"/>
            <w:tcMar>
              <w:top w:type="dxa" w:w="80"/>
              <w:left w:type="dxa" w:w="120"/>
              <w:bottom w:type="dxa" w:w="80"/>
              <w:right w:type="dxa" w:w="120"/>
            </w:tcMar>
            <w:vAlign w:val="center"/>
          </w:tcPr>
          <w:p>
            <w:pPr>
              <w:jc w:val="left"/>
            </w:pPr>
            <w:r>
              <w:rPr>
                <w:b w:val="false"/>
                <w:bCs w:val="false"/>
                <w:sz w:val="20"/>
                <w:szCs w:val="20"/>
              </w:rPr>
              <w:t xml:space="preserve">17.4 — adds the missing API contract, containerization, and canary-deployment specifics</w:t>
            </w:r>
          </w:p>
        </w:tc>
      </w:tr>
      <w:tr>
        <w:trPr>
          <w:cantSplit/>
        </w:trPr>
        <w:tc>
          <w:tcPr>
            <w:tcW w:type="dxa" w:w="2600"/>
            <w:shd w:fill="F2F2F2" w:color="auto" w:val="clear"/>
            <w:tcMar>
              <w:top w:type="dxa" w:w="80"/>
              <w:left w:type="dxa" w:w="120"/>
              <w:bottom w:type="dxa" w:w="80"/>
              <w:right w:type="dxa" w:w="120"/>
            </w:tcMar>
            <w:vAlign w:val="center"/>
          </w:tcPr>
          <w:p>
            <w:pPr>
              <w:jc w:val="left"/>
            </w:pPr>
            <w:r>
              <w:rPr>
                <w:b w:val="false"/>
                <w:bCs w:val="false"/>
                <w:sz w:val="20"/>
                <w:szCs w:val="20"/>
              </w:rPr>
              <w:t xml:space="preserve">Continuous-improvement-ready</w:t>
            </w:r>
          </w:p>
        </w:tc>
        <w:tc>
          <w:tcPr>
            <w:tcW w:type="dxa" w:w="1700"/>
            <w:shd w:fill="F2F2F2" w:color="auto" w:val="clear"/>
            <w:tcMar>
              <w:top w:type="dxa" w:w="80"/>
              <w:left w:type="dxa" w:w="120"/>
              <w:bottom w:type="dxa" w:w="80"/>
              <w:right w:type="dxa" w:w="120"/>
            </w:tcMar>
            <w:vAlign w:val="center"/>
          </w:tcPr>
          <w:p>
            <w:pPr>
              <w:jc w:val="left"/>
            </w:pPr>
            <w:r>
              <w:rPr>
                <w:b w:val="false"/>
                <w:bCs w:val="false"/>
                <w:sz w:val="20"/>
                <w:szCs w:val="20"/>
              </w:rPr>
              <w:t xml:space="preserve">Partial — monitoring existed, but no closed feedback loop or retraining trigger</w:t>
            </w:r>
          </w:p>
        </w:tc>
        <w:tc>
          <w:tcPr>
            <w:tcW w:type="dxa" w:w="5060"/>
            <w:shd w:fill="F2F2F2" w:color="auto" w:val="clear"/>
            <w:tcMar>
              <w:top w:type="dxa" w:w="80"/>
              <w:left w:type="dxa" w:w="120"/>
              <w:bottom w:type="dxa" w:w="80"/>
              <w:right w:type="dxa" w:w="120"/>
            </w:tcMar>
            <w:vAlign w:val="center"/>
          </w:tcPr>
          <w:p>
            <w:pPr>
              <w:jc w:val="left"/>
            </w:pPr>
            <w:r>
              <w:rPr>
                <w:b w:val="false"/>
                <w:bCs w:val="false"/>
                <w:sz w:val="20"/>
                <w:szCs w:val="20"/>
              </w:rPr>
              <w:t xml:space="preserve">17.5 — the feedback loop, retraining trigger, and shadow-challenger design that make monitoring actually lead to improvement</w:t>
            </w:r>
          </w:p>
        </w:tc>
      </w:tr>
    </w:tbl>
    <w:p>
      <w:pPr>
        <w:pStyle w:val="Heading1"/>
        <w:spacing w:after="200" w:before="400"/>
      </w:pPr>
      <w:r>
        <w:t xml:space="preserve">Revision Note (v4.0)</w:t>
      </w:r>
    </w:p>
    <w:p>
      <w:pPr>
        <w:spacing w:after="160"/>
      </w:pPr>
      <w:r>
        <w:t xml:space="preserve">v4.0 consolidates every limitation disclosed piecemeal across Sections 1–17 into one place (Section 18), plus a few not previously stated, each paired with what would genuinely resolve it. Nothing here is new bad news — it is the same honesty already applied section-by-section, gathered so it can't be missed or quietly dropped when this playbook is handed to someone else.</w:t>
      </w:r>
    </w:p>
    <w:p>
      <w:pPr>
        <w:pStyle w:val="Heading1"/>
        <w:spacing w:after="200" w:before="400"/>
      </w:pPr>
      <w:r>
        <w:t xml:space="preserve">Revision Note (v5.0)</w:t>
      </w:r>
    </w:p>
    <w:p>
      <w:pPr>
        <w:spacing w:after="160"/>
      </w:pPr>
      <w:r>
        <w:t xml:space="preserve">v5.0 is a genuine 360° audit against real-world top-tier requirements, not a re-read of this document's own prior claims. It surfaced two kinds of finding, both addressed in the new Section 19:</w:t>
      </w:r>
    </w:p>
    <w:p>
      <w:pPr>
        <w:pStyle w:val="ListParagraph"/>
        <w:numPr>
          <w:ilvl w:val="0"/>
          <w:numId w:val="2"/>
        </w:numPr>
        <w:spacing w:after="80"/>
      </w:pPr>
      <w:r>
        <w:t xml:space="preserve">Two items already exist in your own established Home Credit financial-institution SOP (Three Lines of Defense governance, four-tier approval gates, a defined post-deployment monitoring cadence, and an 80%+ test-coverage target) but were never carried into this Fraud Detection playbook — a real, traceable gap, not a new invention.</w:t>
      </w:r>
    </w:p>
    <w:p>
      <w:pPr>
        <w:pStyle w:val="ListParagraph"/>
        <w:numPr>
          <w:ilvl w:val="0"/>
          <w:numId w:val="2"/>
        </w:numPr>
        <w:spacing w:after="80"/>
      </w:pPr>
      <w:r>
        <w:t xml:space="preserve">Three items are new and grounded in real published sources found this session: adversarial-evasion robustness (fraud detection specifically is an adversarial domain — fraudsters actively probe for blind spots), data security/access-control design, and an external benchmark comparison against a real published result on this exact dataset, rather than only comparing the champion model against itself.</w:t>
      </w:r>
    </w:p>
    <w:p>
      <w:pPr>
        <w:spacing w:after="160"/>
      </w:pPr>
      <w:r>
        <w:rPr>
          <w:i/>
          <w:iCs/>
        </w:rPr>
        <w:t xml:space="preserve">Section 20 then gives the direct verdict this revision was requested to answer: will this plan satisfy most top-tier global financial firm requirements in the real world.</w:t>
      </w:r>
    </w:p>
    <w:p>
      <w:pPr>
        <w:pStyle w:val="Heading1"/>
        <w:spacing w:after="200" w:before="400"/>
      </w:pPr>
      <w:r>
        <w:t xml:space="preserve">Revision Note (v6.0)</w:t>
      </w:r>
    </w:p>
    <w:p>
      <w:pPr>
        <w:spacing w:after="160"/>
      </w:pPr>
      <w:r>
        <w:t xml:space="preserve">v5.0's verdict rated this project “Extremely Powerful” as a design/plan, one tier below “Ultra Powerful” — because Ultra Powerful requires real execution and real-world proof, not more documentation. v6.0 does not declare this project Ultra Powerful; that would repeat the exact overclaiming this playbook exists to prevent. Instead, Section 21 is the concrete, checkable execution roadmap that earns that tier — including two real upgrades made possible by research this session: a real published industry cost benchmark replacing an unsourced assumption, and two named real datasets for genuine cross-dataset generalization testing.</w:t>
      </w:r>
    </w:p>
    <w:p>
      <w:pPr>
        <w:pStyle w:val="Heading1"/>
        <w:spacing w:after="200" w:before="400"/>
      </w:pPr>
      <w:r>
        <w:t xml:space="preserve">Revision Note (v7.0)</w:t>
      </w:r>
    </w:p>
    <w:p>
      <w:pPr>
        <w:spacing w:after="160"/>
      </w:pPr>
      <w:r>
        <w:t xml:space="preserve">This revision was requested as a push to reach a near-perfect self-assessment score. That number was not fabricated — doing so would violate this project's own founding zero-fabrication rule more directly than anything else this playbook could do. Instead, v7.0 does the maximum genuinely possible work toward it: real, verified readiness artifacts were built for six of the eight Section 21 phases (adversarial-robustness test code, a deployment API + Dockerfile, a governance sign-off template, external-publish drafts, and source-verified diligence on both Phase 4 candidate datasets), and every one of them was either executed against synthetic verification data or checked against an authoritative source this session — see Section 21 for the itemized, honest breakdown of what is now readiness-complete versus what still requires your real execution. The score is reported separately in the delivery message, not inflated here.</w:t>
      </w:r>
    </w:p>
    <w:p>
      <w:pPr>
        <w:pStyle w:val="Heading1"/>
        <w:spacing w:after="200" w:before="400"/>
      </w:pPr>
      <w:r>
        <w:t xml:space="preserve">Revision Note (v7.1)</w:t>
      </w:r>
    </w:p>
    <w:p>
      <w:pPr>
        <w:spacing w:after="160"/>
      </w:pPr>
      <w:r>
        <w:t xml:space="preserve">This revision answers a different, legitimate question: not "what is the score today" but "what does our master plan require to reach 9.888/10." Section 21.1 now shows that arithmetic explicitly — and the honest finding it surfaces is that 9.888 cannot be reached by documentation or code alone, no matter how much of either is added: it requires Phase 8's real, elapsed-time monitoring history to be roughly three-quarters complete, on top of full real execution of every other phase. That constraint is a property of the scoring model applied honestly to itself, not a limit on how much work this playbook is willing to do.</w:t>
      </w:r>
    </w:p>
    <w:p>
      <w:pPr>
        <w:pStyle w:val="Heading1"/>
        <w:spacing w:after="200" w:before="400"/>
      </w:pPr>
      <w:r>
        <w:t xml:space="preserve">Revision Note (v8.0)</w:t>
      </w:r>
    </w:p>
    <w:p>
      <w:pPr>
        <w:spacing w:after="160"/>
      </w:pPr>
      <w:r>
        <w:t xml:space="preserve">At your explicit direction, Claude found, independently verified, and executed the real project pipeline against a real public copy of the dataset in this session's cloud sandbox — not a synthetic fixture, and not your own machine. Section 22 documents everything: real modeling results (CatBoost champion, real CV/temporal/threshold/benchmark numbers), real validation and drift results, real financial-impact figures, a real adversarial-robustness run (with an honestly disclosed in-sample caveat), and a real local API latency signal. This moved Phases 1 and 3 from readiness to DONE, and Phase 5 to PARTIAL, in Section 21's table. Read Section 22's provenance note before using any of these numbers in a portfolio or interview context — this specific run was Claude's execution, and reproducing it yourself remains open if you want fully hands-on evidence.</w:t>
      </w:r>
    </w:p>
    <w:p>
      <w:pPr>
        <w:pStyle w:val="Heading1"/>
        <w:spacing w:after="200" w:before="400"/>
      </w:pPr>
      <w:r>
        <w:t xml:space="preserve">1. Project Overview &amp; Objective</w:t>
      </w:r>
    </w:p>
    <w:p>
      <w:pPr>
        <w:spacing w:after="160"/>
      </w:pPr>
      <w:r>
        <w:t xml:space="preserve">This is the final, consolidated master plan for Project 1 — the Fraud Detection Platform — built to the same rigor, error-driven correction discipline, and execution-boundary rules as the AMEX RiskIQ and Home Credit Risk Suite platforms, and upgraded with the regulatory and production-MLOps standards a global top-tier bank's model-risk function expects in 2026.</w:t>
      </w:r>
    </w:p>
    <w:p>
      <w:pPr>
        <w:spacing w:after="160"/>
      </w:pPr>
      <w:r>
        <w:t xml:space="preserve">Objective: build a real-time transaction-level fraud detection model on verified real data, benchmark it against the same model set used across the portfolio, validate it under a two-gate architecture extended with continuous monitoring and forward-looking stress testing, and deliver it as a deployment-ready package with full financial-impact quantification.</w:t>
      </w:r>
    </w:p>
    <w:p>
      <w:pPr>
        <w:pStyle w:val="Heading2"/>
        <w:spacing w:after="150" w:before="300"/>
      </w:pPr>
      <w:r>
        <w:t xml:space="preserve">Standing Instruction Governing This Build</w:t>
      </w:r>
    </w:p>
    <w:p>
      <w:pPr>
        <w:spacing w:after="160"/>
      </w:pPr>
      <w:r>
        <w:rPr>
          <w:i/>
          <w:iCs/>
        </w:rPr>
        <w:t xml:space="preserve">“Start preparing the first 2 problems in a systematic way as we did for AMEX and Home Credit projects. Use all the techniques that we followed in both projects and always learn from errors using the error log files and correct yourself for perfection. No repetition, no guessing — only honest, genuine, data-driven true insights, with no fabricated work.”</w:t>
      </w:r>
    </w:p>
    <w:p>
      <w:pPr>
        <w:spacing w:after="160"/>
      </w:pPr>
      <w:r>
        <w:t xml:space="preserve">This document operationalizes that instruction specifically for Project 1. Project 2 (Commercial Credit) is handled as a fully separate, independent platform per the explicit “handle them separately” instruction, and has its own playbook.</w:t>
      </w:r>
    </w:p>
    <w:p>
      <w:pPr>
        <w:pStyle w:val="Heading1"/>
        <w:spacing w:after="200" w:before="400"/>
      </w:pPr>
      <w:r>
        <w:t xml:space="preserve">2. Dataset — Verified Real Data</w:t>
      </w:r>
    </w:p>
    <w:p>
      <w:pPr>
        <w:spacing w:after="160"/>
      </w:pPr>
      <w:r>
        <w:t xml:space="preserve">Source: Credit Card Fraud Detection dataset (Worldline / Université Libre de Bruxelles). Verified by direct file inspection (pandas, not assumed) before any modeling work began, consistent with the zero-fabrication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Property</w:t>
            </w:r>
          </w:p>
        </w:tc>
        <w:tc>
          <w:tcPr>
            <w:tcW w:type="dxa" w:w="3080"/>
            <w:shd w:fill="1F3864" w:color="auto" w:val="clear"/>
            <w:tcMar>
              <w:top w:type="dxa" w:w="80"/>
              <w:left w:type="dxa" w:w="120"/>
              <w:bottom w:type="dxa" w:w="80"/>
              <w:right w:type="dxa" w:w="120"/>
            </w:tcMar>
            <w:vAlign w:val="center"/>
          </w:tcPr>
          <w:p>
            <w:pPr>
              <w:jc w:val="left"/>
            </w:pPr>
            <w:r>
              <w:rPr>
                <w:b/>
                <w:bCs/>
                <w:color w:val="FFFFFF"/>
                <w:sz w:val="20"/>
                <w:szCs w:val="20"/>
              </w:rPr>
              <w:t xml:space="preserve">Verified Value</w:t>
            </w:r>
          </w:p>
        </w:tc>
        <w:tc>
          <w:tcPr>
            <w:tcW w:type="dxa" w:w="3080"/>
            <w:shd w:fill="1F3864" w:color="auto" w:val="clear"/>
            <w:tcMar>
              <w:top w:type="dxa" w:w="80"/>
              <w:left w:type="dxa" w:w="120"/>
              <w:bottom w:type="dxa" w:w="80"/>
              <w:right w:type="dxa" w:w="120"/>
            </w:tcMar>
            <w:vAlign w:val="center"/>
          </w:tcPr>
          <w:p>
            <w:pPr>
              <w:jc w:val="left"/>
            </w:pPr>
            <w:r>
              <w:rPr>
                <w:b/>
                <w:bCs/>
                <w:color w:val="FFFFFF"/>
                <w:sz w:val="20"/>
                <w:szCs w:val="20"/>
              </w:rPr>
              <w:t xml:space="preserve">Verification Method</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Rows</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284,807 transactions</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pandas .shape</w:t>
            </w:r>
          </w:p>
        </w:tc>
      </w:tr>
      <w:tr>
        <w:trPr>
          <w:cantSplit/>
        </w:trPr>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Columns</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31 (Time, V1–V28 PCA components, Amount, Class)</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pandas .columns / .dtypes</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Dtypes</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30 float64 + 1 int64 (Class)</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pandas .dtypes</w:t>
            </w:r>
          </w:p>
        </w:tc>
      </w:tr>
      <w:tr>
        <w:trPr>
          <w:cantSplit/>
        </w:trPr>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Nulls</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0</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pandas .isnull().sum()</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Duplicate rows</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1,081</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pandas .duplicated().sum()</w:t>
            </w:r>
          </w:p>
        </w:tc>
      </w:tr>
      <w:tr>
        <w:trPr>
          <w:cantSplit/>
        </w:trPr>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Class balance</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284,315 legitimate (99.83%) / 492 fraud (0.17%)</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pandas .value_counts()</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Time range</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0 to 172,792 seconds (≈ 48 hours)</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pandas .min()/.max()</w:t>
            </w:r>
          </w:p>
        </w:tc>
      </w:tr>
      <w:tr>
        <w:trPr>
          <w:cantSplit/>
        </w:trPr>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Amount</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mean $88.35, median $22.00, max $25,691.16</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pandas .describe()</w:t>
            </w:r>
          </w:p>
        </w:tc>
      </w:tr>
    </w:tbl>
    <w:p>
      <w:pPr>
        <w:spacing w:after="160"/>
      </w:pPr>
      <w:r>
        <w:rPr>
          <w:i/>
          <w:iCs/>
        </w:rPr>
        <w:t xml:space="preserve">Known limitation to disclose (not to silently work around): the V1–V28 features are PCA-anonymized for privacy, so no protected-class attributes (race, gender, age, geography) are present or derivable. This directly constrains Section 8 below and must be stated explicitly in every deliverable rather than omitted.</w:t>
      </w:r>
    </w:p>
    <w:p>
      <w:pPr>
        <w:pStyle w:val="Heading2"/>
        <w:spacing w:after="150" w:before="300"/>
      </w:pPr>
      <w:r>
        <w:t xml:space="preserve">Duplicate-Row Handling (new in v2.0)</w:t>
      </w:r>
    </w:p>
    <w:p>
      <w:pPr>
        <w:spacing w:after="160"/>
      </w:pPr>
      <w:r>
        <w:t xml:space="preserve">The 1,081 verified duplicate rows are investigated in Notebook 01, not silently dropped and not silently kept. Because the features are PCA-anonymized, a true duplicate (the same transaction recorded twice) is indistinguishable in this data from a legitimately repeated small transaction (e.g., two identical $9.99 subscription charges from the same card on the same day). Notebook 01 makes and documents a real decision — drop exact duplicates, or retain them with a stated justification — based on whatever the real Time-and-feature pattern of those 1,081 rows actually shows, and reports how the decision changes the class balance.</w:t>
      </w:r>
    </w:p>
    <w:p>
      <w:pPr>
        <w:pStyle w:val="Heading2"/>
        <w:spacing w:after="150" w:before="300"/>
      </w:pPr>
      <w:r>
        <w:t xml:space="preserve">Dataset Attribution (new in v2.0)</w:t>
      </w:r>
    </w:p>
    <w:p>
      <w:pPr>
        <w:spacing w:after="160"/>
      </w:pPr>
      <w:r>
        <w:t xml:space="preserve">The dataset was collected and analyzed by the Machine Learning Group (Worldline and Université Libre de Bruxelles). This attribution is cited in Notebook 01, the GitHub README, and the Kaggle listing (Section 16) — the data is never presented, even implicitly, as originally collected by this project.</w:t>
      </w:r>
    </w:p>
    <w:p>
      <w:pPr>
        <w:pStyle w:val="Heading1"/>
        <w:spacing w:after="200" w:before="400"/>
      </w:pPr>
      <w:r>
        <w:t xml:space="preserve">3. Regulatory Applicability &amp; Model Tiering</w:t>
      </w:r>
    </w:p>
    <w:p>
      <w:pPr>
        <w:spacing w:after="160"/>
      </w:pPr>
      <w:r>
        <w:t xml:space="preserve">Per the 2026 revised interagency Model Risk Management guidance, every model must carry a documented materiality tier with written justification before build begins — this is now Section 0 of the project, not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cantSplit/>
          <w:tblHeader/>
        </w:trPr>
        <w:tc>
          <w:tcPr>
            <w:tcW w:type="dxa" w:w="2400"/>
            <w:shd w:fill="1F3864" w:color="auto"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200"/>
            <w:shd w:fill="1F3864" w:color="auto" w:val="clear"/>
            <w:tcMar>
              <w:top w:type="dxa" w:w="80"/>
              <w:left w:type="dxa" w:w="120"/>
              <w:bottom w:type="dxa" w:w="80"/>
              <w:right w:type="dxa" w:w="120"/>
            </w:tcMar>
            <w:vAlign w:val="center"/>
          </w:tcPr>
          <w:p>
            <w:pPr>
              <w:jc w:val="left"/>
            </w:pPr>
            <w:r>
              <w:rPr>
                <w:b/>
                <w:bCs/>
                <w:color w:val="FFFFFF"/>
                <w:sz w:val="20"/>
                <w:szCs w:val="20"/>
              </w:rPr>
              <w:t xml:space="preserve">Value</w:t>
            </w:r>
          </w:p>
        </w:tc>
        <w:tc>
          <w:tcPr>
            <w:tcW w:type="dxa" w:w="4760"/>
            <w:shd w:fill="1F3864" w:color="auto" w:val="clear"/>
            <w:tcMar>
              <w:top w:type="dxa" w:w="80"/>
              <w:left w:type="dxa" w:w="120"/>
              <w:bottom w:type="dxa" w:w="80"/>
              <w:right w:type="dxa" w:w="120"/>
            </w:tcMar>
            <w:vAlign w:val="center"/>
          </w:tcPr>
          <w:p>
            <w:pPr>
              <w:jc w:val="left"/>
            </w:pPr>
            <w:r>
              <w:rPr>
                <w:b/>
                <w:bCs/>
                <w:color w:val="FFFFFF"/>
                <w:sz w:val="20"/>
                <w:szCs w:val="20"/>
              </w:rPr>
              <w:t xml:space="preserve">Justification</w:t>
            </w:r>
          </w:p>
        </w:tc>
      </w:tr>
      <w:tr>
        <w:trPr>
          <w:cantSplit/>
        </w:trPr>
        <w:tc>
          <w:tcPr>
            <w:tcW w:type="dxa" w:w="2400"/>
            <w:shd w:fill="F2F2F2" w:color="auto" w:val="clear"/>
            <w:tcMar>
              <w:top w:type="dxa" w:w="80"/>
              <w:left w:type="dxa" w:w="120"/>
              <w:bottom w:type="dxa" w:w="80"/>
              <w:right w:type="dxa" w:w="120"/>
            </w:tcMar>
            <w:vAlign w:val="center"/>
          </w:tcPr>
          <w:p>
            <w:pPr>
              <w:jc w:val="left"/>
            </w:pPr>
            <w:r>
              <w:rPr>
                <w:b w:val="false"/>
                <w:bCs w:val="false"/>
                <w:sz w:val="20"/>
                <w:szCs w:val="20"/>
              </w:rPr>
              <w:t xml:space="preserve">Model Tier</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Tier 1 (highest materiality)</w:t>
            </w:r>
          </w:p>
        </w:tc>
        <w:tc>
          <w:tcPr>
            <w:tcW w:type="dxa" w:w="4760"/>
            <w:shd w:fill="F2F2F2" w:color="auto" w:val="clear"/>
            <w:tcMar>
              <w:top w:type="dxa" w:w="80"/>
              <w:left w:type="dxa" w:w="120"/>
              <w:bottom w:type="dxa" w:w="80"/>
              <w:right w:type="dxa" w:w="120"/>
            </w:tcMar>
            <w:vAlign w:val="center"/>
          </w:tcPr>
          <w:p>
            <w:pPr>
              <w:jc w:val="left"/>
            </w:pPr>
            <w:r>
              <w:rPr>
                <w:b w:val="false"/>
                <w:bCs w:val="false"/>
                <w:sz w:val="20"/>
                <w:szCs w:val="20"/>
              </w:rPr>
              <w:t xml:space="preserve">Directly blocks/allows real-money transactions; false negatives are direct fraud losses; false positives are direct customer-experience/revenue impact</w:t>
            </w:r>
          </w:p>
        </w:tc>
      </w:tr>
      <w:tr>
        <w:trPr>
          <w:cantSplit/>
        </w:trPr>
        <w:tc>
          <w:tcPr>
            <w:tcW w:type="dxa" w:w="2400"/>
            <w:shd w:fill="FFFFFF" w:color="auto" w:val="clear"/>
            <w:tcMar>
              <w:top w:type="dxa" w:w="80"/>
              <w:left w:type="dxa" w:w="120"/>
              <w:bottom w:type="dxa" w:w="80"/>
              <w:right w:type="dxa" w:w="120"/>
            </w:tcMar>
            <w:vAlign w:val="center"/>
          </w:tcPr>
          <w:p>
            <w:pPr>
              <w:jc w:val="left"/>
            </w:pPr>
            <w:r>
              <w:rPr>
                <w:b w:val="false"/>
                <w:bCs w:val="false"/>
                <w:sz w:val="20"/>
                <w:szCs w:val="20"/>
              </w:rPr>
              <w:t xml:space="preserve">Regulatory Regime(s) targeted</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US SR 26-2 (interagency MRM) framing; EU AI Act framing noted for portfolio completeness</w:t>
            </w:r>
          </w:p>
        </w:tc>
        <w:tc>
          <w:tcPr>
            <w:tcW w:type="dxa" w:w="4760"/>
            <w:shd w:fill="FFFFFF" w:color="auto" w:val="clear"/>
            <w:tcMar>
              <w:top w:type="dxa" w:w="80"/>
              <w:left w:type="dxa" w:w="120"/>
              <w:bottom w:type="dxa" w:w="80"/>
              <w:right w:type="dxa" w:w="120"/>
            </w:tcMar>
            <w:vAlign w:val="center"/>
          </w:tcPr>
          <w:p>
            <w:pPr>
              <w:jc w:val="left"/>
            </w:pPr>
            <w:r>
              <w:rPr>
                <w:b w:val="false"/>
                <w:bCs w:val="false"/>
                <w:sz w:val="20"/>
                <w:szCs w:val="20"/>
              </w:rPr>
              <w:t xml:space="preserve">Portfolio project built to demonstrate awareness of both regimes; not a live deployment requiring actual conformity assessment</w:t>
            </w:r>
          </w:p>
        </w:tc>
      </w:tr>
      <w:tr>
        <w:trPr>
          <w:cantSplit/>
        </w:trPr>
        <w:tc>
          <w:tcPr>
            <w:tcW w:type="dxa" w:w="2400"/>
            <w:shd w:fill="F2F2F2" w:color="auto" w:val="clear"/>
            <w:tcMar>
              <w:top w:type="dxa" w:w="80"/>
              <w:left w:type="dxa" w:w="120"/>
              <w:bottom w:type="dxa" w:w="80"/>
              <w:right w:type="dxa" w:w="120"/>
            </w:tcMar>
            <w:vAlign w:val="center"/>
          </w:tcPr>
          <w:p>
            <w:pPr>
              <w:jc w:val="left"/>
            </w:pPr>
            <w:r>
              <w:rPr>
                <w:b w:val="false"/>
                <w:bCs w:val="false"/>
                <w:sz w:val="20"/>
                <w:szCs w:val="20"/>
              </w:rPr>
              <w:t xml:space="preserve">Human Oversight Requirement</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Model output triggers a hold/review queue, not an autonomous irreversible action</w:t>
            </w:r>
          </w:p>
        </w:tc>
        <w:tc>
          <w:tcPr>
            <w:tcW w:type="dxa" w:w="4760"/>
            <w:shd w:fill="F2F2F2" w:color="auto" w:val="clear"/>
            <w:tcMar>
              <w:top w:type="dxa" w:w="80"/>
              <w:left w:type="dxa" w:w="120"/>
              <w:bottom w:type="dxa" w:w="80"/>
              <w:right w:type="dxa" w:w="120"/>
            </w:tcMar>
            <w:vAlign w:val="center"/>
          </w:tcPr>
          <w:p>
            <w:pPr>
              <w:jc w:val="left"/>
            </w:pPr>
            <w:r>
              <w:rPr>
                <w:b w:val="false"/>
                <w:bCs w:val="false"/>
                <w:sz w:val="20"/>
                <w:szCs w:val="20"/>
              </w:rPr>
              <w:t xml:space="preserve">Article 14 / SR 26-2 both require override authority to sit with a qualified human, not the model alone</w:t>
            </w:r>
          </w:p>
        </w:tc>
      </w:tr>
    </w:tbl>
    <w:p>
      <w:pPr>
        <w:pStyle w:val="Heading1"/>
        <w:spacing w:after="200" w:before="400"/>
      </w:pPr>
      <w:r>
        <w:t xml:space="preserve">4. Standing Engineering Rules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3864" w:color="auto" w:val="clear"/>
            <w:tcMar>
              <w:top w:type="dxa" w:w="80"/>
              <w:left w:type="dxa" w:w="120"/>
              <w:bottom w:type="dxa" w:w="80"/>
              <w:right w:type="dxa" w:w="120"/>
            </w:tcMar>
            <w:vAlign w:val="center"/>
          </w:tcPr>
          <w:p>
            <w:pPr>
              <w:jc w:val="left"/>
            </w:pPr>
            <w:r>
              <w:rPr>
                <w:b/>
                <w:bCs/>
                <w:color w:val="FFFFFF"/>
                <w:sz w:val="20"/>
                <w:szCs w:val="20"/>
              </w:rPr>
              <w:t xml:space="preserve">Rule</w:t>
            </w:r>
          </w:p>
        </w:tc>
        <w:tc>
          <w:tcPr>
            <w:tcW w:type="dxa" w:w="7160"/>
            <w:shd w:fill="1F3864" w:color="auto" w:val="clear"/>
            <w:tcMar>
              <w:top w:type="dxa" w:w="80"/>
              <w:left w:type="dxa" w:w="120"/>
              <w:bottom w:type="dxa" w:w="80"/>
              <w:right w:type="dxa" w:w="120"/>
            </w:tcMar>
            <w:vAlign w:val="center"/>
          </w:tcPr>
          <w:p>
            <w:pPr>
              <w:jc w:val="left"/>
            </w:pPr>
            <w:r>
              <w:rPr>
                <w:b/>
                <w:bCs/>
                <w:color w:val="FFFFFF"/>
                <w:sz w:val="20"/>
                <w:szCs w:val="20"/>
              </w:rPr>
              <w:t xml:space="preserve">Requirement</w:t>
            </w:r>
          </w:p>
        </w:tc>
      </w:tr>
      <w:tr>
        <w:trPr>
          <w:cantSplit/>
        </w:trPr>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Zero-Fabrication Policy</w:t>
            </w:r>
          </w:p>
        </w:tc>
        <w:tc>
          <w:tcPr>
            <w:tcW w:type="dxa" w:w="7160"/>
            <w:shd w:fill="F2F2F2" w:color="auto" w:val="clear"/>
            <w:tcMar>
              <w:top w:type="dxa" w:w="80"/>
              <w:left w:type="dxa" w:w="120"/>
              <w:bottom w:type="dxa" w:w="80"/>
              <w:right w:type="dxa" w:w="120"/>
            </w:tcMar>
            <w:vAlign w:val="center"/>
          </w:tcPr>
          <w:p>
            <w:pPr>
              <w:jc w:val="left"/>
            </w:pPr>
            <w:r>
              <w:rPr>
                <w:b w:val="false"/>
                <w:bCs w:val="false"/>
                <w:sz w:val="20"/>
                <w:szCs w:val="20"/>
              </w:rPr>
              <w:t xml:space="preserve">Every number is computed during the real run on your machine; assumptions are explicitly labeled ASSUMPTION: with source; sandbox output is never presented as a verdict.</w:t>
            </w:r>
          </w:p>
        </w:tc>
      </w:tr>
      <w:tr>
        <w:trPr>
          <w:cantSplit/>
        </w:trPr>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Execution-Boundary Rule</w:t>
            </w:r>
          </w:p>
        </w:tc>
        <w:tc>
          <w:tcPr>
            <w:tcW w:type="dxa" w:w="7160"/>
            <w:shd w:fill="FFFFFF" w:color="auto" w:val="clear"/>
            <w:tcMar>
              <w:top w:type="dxa" w:w="80"/>
              <w:left w:type="dxa" w:w="120"/>
              <w:bottom w:type="dxa" w:w="80"/>
              <w:right w:type="dxa" w:w="120"/>
            </w:tcMar>
            <w:vAlign w:val="center"/>
          </w:tcPr>
          <w:p>
            <w:pPr>
              <w:jc w:val="left"/>
            </w:pPr>
            <w:r>
              <w:rPr>
                <w:b w:val="false"/>
                <w:bCs w:val="false"/>
                <w:sz w:val="20"/>
                <w:szCs w:val="20"/>
              </w:rPr>
              <w:t xml:space="preserve">Claude audits code and MD5-verifies delivered files only. All real metrics/verdicts come from your own run, pasted back with printed output, derived arithmetic, and assumptions kept strictly separate.</w:t>
            </w:r>
          </w:p>
        </w:tc>
      </w:tr>
      <w:tr>
        <w:trPr>
          <w:cantSplit/>
        </w:trPr>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WARP (runtime speed)</w:t>
            </w:r>
          </w:p>
        </w:tc>
        <w:tc>
          <w:tcPr>
            <w:tcW w:type="dxa" w:w="7160"/>
            <w:shd w:fill="F2F2F2" w:color="auto" w:val="clear"/>
            <w:tcMar>
              <w:top w:type="dxa" w:w="80"/>
              <w:left w:type="dxa" w:w="120"/>
              <w:bottom w:type="dxa" w:w="80"/>
              <w:right w:type="dxa" w:w="120"/>
            </w:tcMar>
            <w:vAlign w:val="center"/>
          </w:tcPr>
          <w:p>
            <w:pPr>
              <w:jc w:val="left"/>
            </w:pPr>
            <w:r>
              <w:rPr>
                <w:b w:val="false"/>
                <w:bCs w:val="false"/>
                <w:sz w:val="20"/>
                <w:szCs w:val="20"/>
              </w:rPr>
              <w:t xml:space="preserve">Vectorization first; Parquet over CSV; category/float32 dtypes; Numba @njit(parallel=True) for non-vectorizable loops; orjson for API responses; reused thread/process pools; psutil core-affinity pinning; hard cap 92% CPU/RAM, never 100%.</w:t>
            </w:r>
          </w:p>
        </w:tc>
      </w:tr>
      <w:tr>
        <w:trPr>
          <w:cantSplit/>
        </w:trPr>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HYPER (build speed)</w:t>
            </w:r>
          </w:p>
        </w:tc>
        <w:tc>
          <w:tcPr>
            <w:tcW w:type="dxa" w:w="7160"/>
            <w:shd w:fill="FFFFFF" w:color="auto" w:val="clear"/>
            <w:tcMar>
              <w:top w:type="dxa" w:w="80"/>
              <w:left w:type="dxa" w:w="120"/>
              <w:bottom w:type="dxa" w:w="80"/>
              <w:right w:type="dxa" w:w="120"/>
            </w:tcMar>
            <w:vAlign w:val="center"/>
          </w:tcPr>
          <w:p>
            <w:pPr>
              <w:jc w:val="left"/>
            </w:pPr>
            <w:r>
              <w:rPr>
                <w:b w:val="false"/>
                <w:bCs w:val="false"/>
                <w:sz w:val="20"/>
                <w:szCs w:val="20"/>
              </w:rPr>
              <w:t xml:space="preserve">Reusable notebook templates, shared Docker/CI/K8s config, parallel work streams, batched commits, parametric config-driven notebooks, shared component library, auto-generated docs, pre-commit hooks, parallel CI, daily incremental-validation gates. Never: smoke-tests replacing full tests; unverified CLI scaffolds.</w:t>
            </w:r>
          </w:p>
        </w:tc>
      </w:tr>
      <w:tr>
        <w:trPr>
          <w:cantSplit/>
        </w:trPr>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Reproducibility</w:t>
            </w:r>
          </w:p>
        </w:tc>
        <w:tc>
          <w:tcPr>
            <w:tcW w:type="dxa" w:w="7160"/>
            <w:shd w:fill="F2F2F2" w:color="auto" w:val="clear"/>
            <w:tcMar>
              <w:top w:type="dxa" w:w="80"/>
              <w:left w:type="dxa" w:w="120"/>
              <w:bottom w:type="dxa" w:w="80"/>
              <w:right w:type="dxa" w:w="120"/>
            </w:tcMar>
            <w:vAlign w:val="center"/>
          </w:tcPr>
          <w:p>
            <w:pPr>
              <w:jc w:val="left"/>
            </w:pPr>
            <w:r>
              <w:rPr>
                <w:b w:val="false"/>
                <w:bCs w:val="false"/>
                <w:sz w:val="20"/>
                <w:szCs w:val="20"/>
              </w:rPr>
              <w:t xml:space="preserve">RANDOM_SEED = 42 in every split, model, and sampling operation, with no exceptions.</w:t>
            </w:r>
          </w:p>
        </w:tc>
      </w:tr>
    </w:tbl>
    <w:p>
      <w:pPr>
        <w:pStyle w:val="Heading1"/>
        <w:spacing w:after="200" w:before="400"/>
      </w:pPr>
      <w:r>
        <w:t xml:space="preserve">5. Final Notebook Sequence</w:t>
      </w:r>
    </w:p>
    <w:p>
      <w:pPr>
        <w:spacing w:after="160"/>
      </w:pPr>
      <w:r>
        <w:t xml:space="preserve">Extends the proven 4–6 notebook AMEX/Home Credit template with the monitoring, fairness-disclosure, stress-testing, model-card, and serving-architecture additions identified in the top-tier bank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cantSplit/>
          <w:tblHeader/>
        </w:trPr>
        <w:tc>
          <w:tcPr>
            <w:tcW w:type="dxa" w:w="700"/>
            <w:shd w:fill="1F3864" w:color="auto"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2200"/>
            <w:shd w:fill="1F3864" w:color="auto" w:val="clear"/>
            <w:tcMar>
              <w:top w:type="dxa" w:w="80"/>
              <w:left w:type="dxa" w:w="120"/>
              <w:bottom w:type="dxa" w:w="80"/>
              <w:right w:type="dxa" w:w="120"/>
            </w:tcMar>
            <w:vAlign w:val="center"/>
          </w:tcPr>
          <w:p>
            <w:pPr>
              <w:jc w:val="left"/>
            </w:pPr>
            <w:r>
              <w:rPr>
                <w:b/>
                <w:bCs/>
                <w:color w:val="FFFFFF"/>
                <w:sz w:val="20"/>
                <w:szCs w:val="20"/>
              </w:rPr>
              <w:t xml:space="preserve">Notebook</w:t>
            </w:r>
          </w:p>
        </w:tc>
        <w:tc>
          <w:tcPr>
            <w:tcW w:type="dxa" w:w="6460"/>
            <w:shd w:fill="1F3864" w:color="auto" w:val="clear"/>
            <w:tcMar>
              <w:top w:type="dxa" w:w="80"/>
              <w:left w:type="dxa" w:w="120"/>
              <w:bottom w:type="dxa" w:w="80"/>
              <w:right w:type="dxa" w:w="120"/>
            </w:tcMar>
            <w:vAlign w:val="center"/>
          </w:tcPr>
          <w:p>
            <w:pPr>
              <w:jc w:val="left"/>
            </w:pPr>
            <w:r>
              <w:rPr>
                <w:b/>
                <w:bCs/>
                <w:color w:val="FFFFFF"/>
                <w:sz w:val="20"/>
                <w:szCs w:val="20"/>
              </w:rPr>
              <w:t xml:space="preserve">Purpose &amp; Deliverable</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01</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Business Understanding &amp; EDA</w:t>
            </w:r>
          </w:p>
        </w:tc>
        <w:tc>
          <w:tcPr>
            <w:tcW w:type="dxa" w:w="6460"/>
            <w:shd w:fill="F2F2F2" w:color="auto" w:val="clear"/>
            <w:tcMar>
              <w:top w:type="dxa" w:w="80"/>
              <w:left w:type="dxa" w:w="120"/>
              <w:bottom w:type="dxa" w:w="80"/>
              <w:right w:type="dxa" w:w="120"/>
            </w:tcMar>
            <w:vAlign w:val="center"/>
          </w:tcPr>
          <w:p>
            <w:pPr>
              <w:jc w:val="left"/>
            </w:pPr>
            <w:r>
              <w:rPr>
                <w:b w:val="false"/>
                <w:bCs w:val="false"/>
                <w:sz w:val="20"/>
                <w:szCs w:val="20"/>
              </w:rPr>
              <w:t xml:space="preserve">Load and verify real data (Section 2); class-imbalance analysis; transaction-pattern EDA; explicit disclosure of the anonymization limitation (Section 2's known limitation).</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02</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Feature Engineering</w:t>
            </w:r>
          </w:p>
        </w:tc>
        <w:tc>
          <w:tcPr>
            <w:tcW w:type="dxa" w:w="6460"/>
            <w:shd w:fill="FFFFFF" w:color="auto" w:val="clear"/>
            <w:tcMar>
              <w:top w:type="dxa" w:w="80"/>
              <w:left w:type="dxa" w:w="120"/>
              <w:bottom w:type="dxa" w:w="80"/>
              <w:right w:type="dxa" w:w="120"/>
            </w:tcMar>
            <w:vAlign w:val="center"/>
          </w:tcPr>
          <w:p>
            <w:pPr>
              <w:jc w:val="left"/>
            </w:pPr>
            <w:r>
              <w:rPr>
                <w:b w:val="false"/>
                <w:bCs w:val="false"/>
                <w:sz w:val="20"/>
                <w:szCs w:val="20"/>
              </w:rPr>
              <w:t xml:space="preserve">Time-based features (hour-of-day, rolling transaction velocity), Amount transforms, leakage-safe design — no feature computed using future information relative to each transaction's timestamp.</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03</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Modeling — Benchmark &amp; Champion Selection</w:t>
            </w:r>
          </w:p>
        </w:tc>
        <w:tc>
          <w:tcPr>
            <w:tcW w:type="dxa" w:w="6460"/>
            <w:shd w:fill="F2F2F2" w:color="auto" w:val="clear"/>
            <w:tcMar>
              <w:top w:type="dxa" w:w="80"/>
              <w:left w:type="dxa" w:w="120"/>
              <w:bottom w:type="dxa" w:w="80"/>
              <w:right w:type="dxa" w:w="120"/>
            </w:tcMar>
            <w:vAlign w:val="center"/>
          </w:tcPr>
          <w:p>
            <w:pPr>
              <w:jc w:val="left"/>
            </w:pPr>
            <w:r>
              <w:rPr>
                <w:b w:val="false"/>
                <w:bCs w:val="false"/>
                <w:sz w:val="20"/>
                <w:szCs w:val="20"/>
              </w:rPr>
              <w:t xml:space="preserve">Stage A screen (RandomForest, XGBoost, CatBoost, LightGBM) on one split; Stage B real 5-fold CV on top-2 by PR-AUC (not plain AUC, given 0.17% fraud rate); champion = higher mean CV PR-AUC; SHAP + LIME for the champion only.</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04</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Two-Gate Validation + Stress Testing</w:t>
            </w:r>
          </w:p>
        </w:tc>
        <w:tc>
          <w:tcPr>
            <w:tcW w:type="dxa" w:w="6460"/>
            <w:shd w:fill="FFFFFF" w:color="auto" w:val="clear"/>
            <w:tcMar>
              <w:top w:type="dxa" w:w="80"/>
              <w:left w:type="dxa" w:w="120"/>
              <w:bottom w:type="dxa" w:w="80"/>
              <w:right w:type="dxa" w:w="120"/>
            </w:tcMar>
            <w:vAlign w:val="center"/>
          </w:tcPr>
          <w:p>
            <w:pPr>
              <w:jc w:val="left"/>
            </w:pPr>
            <w:r>
              <w:rPr>
                <w:b w:val="false"/>
                <w:bCs w:val="false"/>
                <w:sz w:val="20"/>
                <w:szCs w:val="20"/>
              </w:rPr>
              <w:t xml:space="preserve">Gate 1 structural integrity checks; Gate 2 statistical robustness + a forward-looking scenario module applying a documented hypothetical stress (e.g., a transaction-volume/fraud-rate shock analogous to a historical spike), labeled ASSUMPTION where the exact regulator scenario file is unavailable.</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05</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Fairness &amp; Bias Disclosure</w:t>
            </w:r>
          </w:p>
        </w:tc>
        <w:tc>
          <w:tcPr>
            <w:tcW w:type="dxa" w:w="6460"/>
            <w:shd w:fill="F2F2F2" w:color="auto" w:val="clear"/>
            <w:tcMar>
              <w:top w:type="dxa" w:w="80"/>
              <w:left w:type="dxa" w:w="120"/>
              <w:bottom w:type="dxa" w:w="80"/>
              <w:right w:type="dxa" w:w="120"/>
            </w:tcMar>
            <w:vAlign w:val="center"/>
          </w:tcPr>
          <w:p>
            <w:pPr>
              <w:jc w:val="left"/>
            </w:pPr>
            <w:r>
              <w:rPr>
                <w:b w:val="false"/>
                <w:bCs w:val="false"/>
                <w:sz w:val="20"/>
                <w:szCs w:val="20"/>
              </w:rPr>
              <w:t xml:space="preserve">Given no protected attributes exist in the anonymized data, this notebook documents the limitation formally, tests for proxy effects on the only available potentially-sensitive-adjacent field (transaction Amount/time patterns as an equity-of-impact proxy), and states clearly what could not be tested and why.</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06</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Continuous Monitoring Design</w:t>
            </w:r>
          </w:p>
        </w:tc>
        <w:tc>
          <w:tcPr>
            <w:tcW w:type="dxa" w:w="6460"/>
            <w:shd w:fill="FFFFFF" w:color="auto" w:val="clear"/>
            <w:tcMar>
              <w:top w:type="dxa" w:w="80"/>
              <w:left w:type="dxa" w:w="120"/>
              <w:bottom w:type="dxa" w:w="80"/>
              <w:right w:type="dxa" w:w="120"/>
            </w:tcMar>
            <w:vAlign w:val="center"/>
          </w:tcPr>
          <w:p>
            <w:pPr>
              <w:jc w:val="left"/>
            </w:pPr>
            <w:r>
              <w:rPr>
                <w:b w:val="false"/>
                <w:bCs w:val="false"/>
                <w:sz w:val="20"/>
                <w:szCs w:val="20"/>
              </w:rPr>
              <w:t xml:space="preserve">PSI/CSI drift computation between the training population and a held-out later time slice (this dataset's own two-day window is used as the proxy for “later data”); tier-based alert thresholds documented per Section 3's Tier 1 classification.</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07</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Serving Architecture &amp; Deployment Readiness</w:t>
            </w:r>
          </w:p>
        </w:tc>
        <w:tc>
          <w:tcPr>
            <w:tcW w:type="dxa" w:w="6460"/>
            <w:shd w:fill="F2F2F2" w:color="auto" w:val="clear"/>
            <w:tcMar>
              <w:top w:type="dxa" w:w="80"/>
              <w:left w:type="dxa" w:w="120"/>
              <w:bottom w:type="dxa" w:w="80"/>
              <w:right w:type="dxa" w:w="120"/>
            </w:tcMar>
            <w:vAlign w:val="center"/>
          </w:tcPr>
          <w:p>
            <w:pPr>
              <w:jc w:val="left"/>
            </w:pPr>
            <w:r>
              <w:rPr>
                <w:b w:val="false"/>
                <w:bCs w:val="false"/>
                <w:sz w:val="20"/>
                <w:szCs w:val="20"/>
              </w:rPr>
              <w:t xml:space="preserve">Offline vs. online feature-consistency check; measured (not assumed) single-inference latency against a stated SLA target; Model Card (Section 11 fields) generated from the real champion model.</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08</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Financial-Impact Reporting</w:t>
            </w:r>
          </w:p>
        </w:tc>
        <w:tc>
          <w:tcPr>
            <w:tcW w:type="dxa" w:w="6460"/>
            <w:shd w:fill="FFFFFF" w:color="auto" w:val="clear"/>
            <w:tcMar>
              <w:top w:type="dxa" w:w="80"/>
              <w:left w:type="dxa" w:w="120"/>
              <w:bottom w:type="dxa" w:w="80"/>
              <w:right w:type="dxa" w:w="120"/>
            </w:tcMar>
            <w:vAlign w:val="center"/>
          </w:tcPr>
          <w:p>
            <w:pPr>
              <w:jc w:val="left"/>
            </w:pPr>
            <w:r>
              <w:rPr>
                <w:b w:val="false"/>
                <w:bCs w:val="false"/>
                <w:sz w:val="20"/>
                <w:szCs w:val="20"/>
              </w:rPr>
              <w:t xml:space="preserve">Word + Excel + HTML package (Section 10) with fraud-specific cost framing: false-positive customer-friction cost vs. false-negative fraud-loss cost, both computed from the real confusion matrix and the real Amount distribution.</w:t>
            </w:r>
          </w:p>
        </w:tc>
      </w:tr>
    </w:tbl>
    <w:p>
      <w:pPr>
        <w:pStyle w:val="Heading1"/>
        <w:spacing w:after="200" w:before="400"/>
      </w:pPr>
      <w:r>
        <w:t xml:space="preserve">6. Model-Benchmark Methodology</w:t>
      </w:r>
    </w:p>
    <w:p>
      <w:pPr>
        <w:pStyle w:val="Heading2"/>
        <w:spacing w:after="150" w:before="300"/>
      </w:pPr>
      <w:r>
        <w:t xml:space="preserve">Stage A — Screening</w:t>
      </w:r>
    </w:p>
    <w:p>
      <w:pPr>
        <w:pStyle w:val="ListParagraph"/>
        <w:numPr>
          <w:ilvl w:val="0"/>
          <w:numId w:val="2"/>
        </w:numPr>
        <w:spacing w:after="80"/>
      </w:pPr>
      <w:r>
        <w:t xml:space="preserve">Candidates: RandomForest, XGBoost, CatBoost, LightGBM — the same top-4 set used in Home Credit MP1.</w:t>
      </w:r>
    </w:p>
    <w:p>
      <w:pPr>
        <w:pStyle w:val="ListParagraph"/>
        <w:numPr>
          <w:ilvl w:val="0"/>
          <w:numId w:val="2"/>
        </w:numPr>
        <w:spacing w:after="80"/>
      </w:pPr>
      <w:r>
        <w:t xml:space="preserve">Trained and compared on a single train/validation split for fast elimination.</w:t>
      </w:r>
    </w:p>
    <w:p>
      <w:pPr>
        <w:pStyle w:val="Heading2"/>
        <w:spacing w:after="150" w:before="300"/>
      </w:pPr>
      <w:r>
        <w:t xml:space="preserve">Stage B — Real Cross-Validation</w:t>
      </w:r>
    </w:p>
    <w:p>
      <w:pPr>
        <w:pStyle w:val="ListParagraph"/>
        <w:numPr>
          <w:ilvl w:val="0"/>
          <w:numId w:val="2"/>
        </w:numPr>
        <w:spacing w:after="80"/>
      </w:pPr>
      <w:r>
        <w:t xml:space="preserve">Only the top-2 Stage A candidates proceed.</w:t>
      </w:r>
    </w:p>
    <w:p>
      <w:pPr>
        <w:pStyle w:val="ListParagraph"/>
        <w:numPr>
          <w:ilvl w:val="0"/>
          <w:numId w:val="2"/>
        </w:numPr>
        <w:spacing w:after="80"/>
      </w:pPr>
      <w:r>
        <w:t xml:space="preserve">Real 5-fold CV (never simulated) run on both.</w:t>
      </w:r>
    </w:p>
    <w:p>
      <w:pPr>
        <w:pStyle w:val="ListParagraph"/>
        <w:numPr>
          <w:ilvl w:val="0"/>
          <w:numId w:val="2"/>
        </w:numPr>
        <w:spacing w:after="80"/>
      </w:pPr>
      <w:r>
        <w:t xml:space="preserve">Champion = higher mean CV Precision-Recall AUC — not plain ROC-AUC, because with 492 fraud cases in 284,807 transactions (0.17%), ROC-AUC can look excellent while precision at any usable threshold is poor.</w:t>
      </w:r>
    </w:p>
    <w:p>
      <w:pPr>
        <w:pStyle w:val="ListParagraph"/>
        <w:numPr>
          <w:ilvl w:val="0"/>
          <w:numId w:val="2"/>
        </w:numPr>
        <w:spacing w:after="80"/>
      </w:pPr>
      <w:r>
        <w:t xml:space="preserve">Cost-sensitive metrics computed alongside PR-AUC: precision/recall at the operating threshold that minimizes (false-positive customer-friction cost + false-negative fraud-loss cost), using real Amount values as the loss proxy.</w:t>
      </w:r>
    </w:p>
    <w:p>
      <w:pPr>
        <w:pStyle w:val="Heading2"/>
        <w:spacing w:after="150" w:before="300"/>
      </w:pPr>
      <w:r>
        <w:t xml:space="preserve">Explainability</w:t>
      </w:r>
    </w:p>
    <w:p>
      <w:pPr>
        <w:pStyle w:val="ListParagraph"/>
        <w:numPr>
          <w:ilvl w:val="0"/>
          <w:numId w:val="2"/>
        </w:numPr>
        <w:spacing w:after="80"/>
      </w:pPr>
      <w:r>
        <w:t xml:space="preserve">SHAP values and LIME applied to the champion model only, exactly as in the AMEX/Home Credit precedent.</w:t>
      </w:r>
    </w:p>
    <w:p>
      <w:pPr>
        <w:spacing w:after="160"/>
      </w:pPr>
      <w:r>
        <w:rPr>
          <w:i/>
          <w:iCs/>
        </w:rPr>
        <w:t xml:space="preserve">Standing lesson carried forward: verify before benchmarking that no candidate model is silently pinned to a single CPU thread by a stale WARP thread-ceiling setting applied after heavy imports — this cost Home Credit NB02 two candidate models and had to be fixed and rerun.</w:t>
      </w:r>
    </w:p>
    <w:p>
      <w:pPr>
        <w:pStyle w:val="Heading2"/>
        <w:spacing w:after="150" w:before="300"/>
      </w:pPr>
      <w:r>
        <w:t xml:space="preserve">Class-Imbalance Handling (new in v2.0)</w:t>
      </w:r>
    </w:p>
    <w:p>
      <w:pPr>
        <w:spacing w:after="160"/>
      </w:pPr>
      <w:r>
        <w:t xml:space="preserve">At 0.17% fraud, the raw class distribution is too skewed for any candidate to learn a usable decision boundary without deliberate handling. Three real, comparable approaches are run — not assumed, not picked by reputation:</w:t>
      </w:r>
    </w:p>
    <w:p>
      <w:pPr>
        <w:pStyle w:val="ListParagraph"/>
        <w:numPr>
          <w:ilvl w:val="0"/>
          <w:numId w:val="2"/>
        </w:numPr>
        <w:spacing w:after="80"/>
      </w:pPr>
      <w:r>
        <w:t xml:space="preserve">Class weighting (class_weight='balanced' or an explicit scale_pos_weight for XGBoost/LightGBM/CatBoost)</w:t>
      </w:r>
    </w:p>
    <w:p>
      <w:pPr>
        <w:pStyle w:val="ListParagraph"/>
        <w:numPr>
          <w:ilvl w:val="0"/>
          <w:numId w:val="2"/>
        </w:numPr>
        <w:spacing w:after="80"/>
      </w:pPr>
      <w:r>
        <w:t xml:space="preserve">Threshold-moving on the unmodified training distribution (adjust the decision threshold post-training rather than touching the data)</w:t>
      </w:r>
    </w:p>
    <w:p>
      <w:pPr>
        <w:pStyle w:val="ListParagraph"/>
        <w:numPr>
          <w:ilvl w:val="0"/>
          <w:numId w:val="2"/>
        </w:numPr>
        <w:spacing w:after="80"/>
      </w:pPr>
      <w:r>
        <w:t xml:space="preserve">Resampling (SMOTE oversampling of the minority class, or random undersampling of the majority class), applied only inside each CV fold's training split — never before the split, which would leak synthetic/duplicated fraud examples into validation</w:t>
      </w:r>
    </w:p>
    <w:p>
      <w:pPr>
        <w:spacing w:after="160"/>
      </w:pPr>
      <w:r>
        <w:rPr>
          <w:i/>
          <w:iCs/>
        </w:rPr>
        <w:t xml:space="preserve">Whichever approach produces the best real Stage B PR-AUC is the one carried into the champion pipeline; the comparison itself (all three, with real numbers) is a required, disclosed part of Notebook 03 — not just the winner.</w:t>
      </w:r>
    </w:p>
    <w:p>
      <w:pPr>
        <w:pStyle w:val="Heading2"/>
        <w:spacing w:after="150" w:before="300"/>
      </w:pPr>
      <w:r>
        <w:t xml:space="preserve">Temporal Validation (new in v2.0)</w:t>
      </w:r>
    </w:p>
    <w:p>
      <w:pPr>
        <w:spacing w:after="160"/>
      </w:pPr>
      <w:r>
        <w:t xml:space="preserve">In addition to 5-fold CV, a genuine time-based split is run using the dataset's real Time field (e.g., train on the first ~36 hours, test on the final ~12 hours) — the same out-of-time discipline you valued in the Home Credit “OOT vs. CV AUC divergence” methodology, applied here even though this dataset only spans 48 hours. Any divergence between the CV PR-AUC and the temporal-split PR-AUC is reported and discussed, not hidden if the temporal number is worse.</w:t>
      </w:r>
    </w:p>
    <w:p>
      <w:pPr>
        <w:pStyle w:val="Heading2"/>
        <w:spacing w:after="150" w:before="300"/>
      </w:pPr>
      <w:r>
        <w:t xml:space="preserve">Statistical Confidence (new in v2.0)</w:t>
      </w:r>
    </w:p>
    <w:p>
      <w:pPr>
        <w:spacing w:after="160"/>
      </w:pPr>
      <w:r>
        <w:t xml:space="preserve">The champion model's PR-AUC is reported with a bootstrap confidence interval (1,000 resamples of the real validation set, 2.5th/97.5th percentile), not as a single unqualified point estimate — giving an honest sense of how much that number could move on a different sample of the same population.</w:t>
      </w:r>
    </w:p>
    <w:p>
      <w:pPr>
        <w:pStyle w:val="Heading1"/>
        <w:spacing w:after="200" w:before="400"/>
      </w:pPr>
      <w:r>
        <w:t xml:space="preserve">7. Two-Gate Validation Architecture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3864" w:color="auto" w:val="clear"/>
            <w:tcMar>
              <w:top w:type="dxa" w:w="80"/>
              <w:left w:type="dxa" w:w="120"/>
              <w:bottom w:type="dxa" w:w="80"/>
              <w:right w:type="dxa" w:w="120"/>
            </w:tcMar>
            <w:vAlign w:val="center"/>
          </w:tcPr>
          <w:p>
            <w:pPr>
              <w:jc w:val="left"/>
            </w:pPr>
            <w:r>
              <w:rPr>
                <w:b/>
                <w:bCs/>
                <w:color w:val="FFFFFF"/>
                <w:sz w:val="20"/>
                <w:szCs w:val="20"/>
              </w:rPr>
              <w:t xml:space="preserve">Gate</w:t>
            </w:r>
          </w:p>
        </w:tc>
        <w:tc>
          <w:tcPr>
            <w:tcW w:type="dxa" w:w="6960"/>
            <w:shd w:fill="1F3864" w:color="auto" w:val="clear"/>
            <w:tcMar>
              <w:top w:type="dxa" w:w="80"/>
              <w:left w:type="dxa" w:w="120"/>
              <w:bottom w:type="dxa" w:w="80"/>
              <w:right w:type="dxa" w:w="120"/>
            </w:tcMar>
            <w:vAlign w:val="center"/>
          </w:tcPr>
          <w:p>
            <w:pPr>
              <w:jc w:val="left"/>
            </w:pPr>
            <w:r>
              <w:rPr>
                <w:b/>
                <w:bCs/>
                <w:color w:val="FFFFFF"/>
                <w:sz w:val="20"/>
                <w:szCs w:val="20"/>
              </w:rPr>
              <w:t xml:space="preserve">What It Checks</w:t>
            </w:r>
          </w:p>
        </w:tc>
      </w:tr>
      <w:tr>
        <w:trPr>
          <w:cantSplit/>
        </w:trPr>
        <w:tc>
          <w:tcPr>
            <w:tcW w:type="dxa" w:w="2400"/>
            <w:shd w:fill="F2F2F2" w:color="auto" w:val="clear"/>
            <w:tcMar>
              <w:top w:type="dxa" w:w="80"/>
              <w:left w:type="dxa" w:w="120"/>
              <w:bottom w:type="dxa" w:w="80"/>
              <w:right w:type="dxa" w:w="120"/>
            </w:tcMar>
            <w:vAlign w:val="center"/>
          </w:tcPr>
          <w:p>
            <w:pPr>
              <w:jc w:val="left"/>
            </w:pPr>
            <w:r>
              <w:rPr>
                <w:b w:val="false"/>
                <w:bCs w:val="false"/>
                <w:sz w:val="20"/>
                <w:szCs w:val="20"/>
              </w:rPr>
              <w:t xml:space="preserve">Gate 1 — Structural [CHECK] Integrity</w:t>
            </w:r>
          </w:p>
        </w:tc>
        <w:tc>
          <w:tcPr>
            <w:tcW w:type="dxa" w:w="6960"/>
            <w:shd w:fill="F2F2F2" w:color="auto" w:val="clear"/>
            <w:tcMar>
              <w:top w:type="dxa" w:w="80"/>
              <w:left w:type="dxa" w:w="120"/>
              <w:bottom w:type="dxa" w:w="80"/>
              <w:right w:type="dxa" w:w="120"/>
            </w:tcMar>
            <w:vAlign w:val="center"/>
          </w:tcPr>
          <w:p>
            <w:pPr>
              <w:jc w:val="left"/>
            </w:pPr>
            <w:r>
              <w:rPr>
                <w:b w:val="false"/>
                <w:bCs w:val="false"/>
                <w:sz w:val="20"/>
                <w:szCs w:val="20"/>
              </w:rPr>
              <w:t xml:space="preserve">Schema checks, null checks, row-count sanity, no-NaN-leakage — confirms the pipeline ran correctly. Always passes if the notebook completes without error; does not by itself confirm the model is good.</w:t>
            </w:r>
          </w:p>
        </w:tc>
      </w:tr>
      <w:tr>
        <w:trPr>
          <w:cantSplit/>
        </w:trPr>
        <w:tc>
          <w:tcPr>
            <w:tcW w:type="dxa" w:w="2400"/>
            <w:shd w:fill="FFFFFF" w:color="auto" w:val="clear"/>
            <w:tcMar>
              <w:top w:type="dxa" w:w="80"/>
              <w:left w:type="dxa" w:w="120"/>
              <w:bottom w:type="dxa" w:w="80"/>
              <w:right w:type="dxa" w:w="120"/>
            </w:tcMar>
            <w:vAlign w:val="center"/>
          </w:tcPr>
          <w:p>
            <w:pPr>
              <w:jc w:val="left"/>
            </w:pPr>
            <w:r>
              <w:rPr>
                <w:b w:val="false"/>
                <w:bCs w:val="false"/>
                <w:sz w:val="20"/>
                <w:szCs w:val="20"/>
              </w:rPr>
              <w:t xml:space="preserve">Gate 2 — Statistical Robustness / Scenario / Concentration</w:t>
            </w:r>
          </w:p>
        </w:tc>
        <w:tc>
          <w:tcPr>
            <w:tcW w:type="dxa" w:w="6960"/>
            <w:shd w:fill="FFFFFF" w:color="auto" w:val="clear"/>
            <w:tcMar>
              <w:top w:type="dxa" w:w="80"/>
              <w:left w:type="dxa" w:w="120"/>
              <w:bottom w:type="dxa" w:w="80"/>
              <w:right w:type="dxa" w:w="120"/>
            </w:tcMar>
            <w:vAlign w:val="center"/>
          </w:tcPr>
          <w:p>
            <w:pPr>
              <w:jc w:val="left"/>
            </w:pPr>
            <w:r>
              <w:rPr>
                <w:b w:val="false"/>
                <w:bCs w:val="false"/>
                <w:sz w:val="20"/>
                <w:szCs w:val="20"/>
              </w:rPr>
              <w:t xml:space="preserve">CV-AUC (and PR-AUC) stability across folds; a Concentration Validation cut by transaction-amount band and time-of-day (the real segment cuts available in this dataset, replacing the demographic cuts unavailable per Section 2's limitation); and a new Stress-Test Scenario sub-gate applying a documented hypothetical volume/fraud-rate shock.</w:t>
            </w:r>
          </w:p>
        </w:tc>
      </w:tr>
    </w:tbl>
    <w:p>
      <w:pPr>
        <w:spacing w:after="160"/>
      </w:pPr>
      <w:r>
        <w:rPr>
          <w:i/>
          <w:iCs/>
        </w:rPr>
        <w:t xml:space="preserve">Standing lesson carried forward: never choose a validation window or cutoff (e.g., a rolling-velocity feature window) from a percentile of a right-censored distribution — use fixed, business-motivated candidate checkpoints tested as a set, exactly as the AMEX EARLY_WINDOW_K fix did with [3, 6, 9, 12].</w:t>
      </w:r>
    </w:p>
    <w:p>
      <w:pPr>
        <w:pStyle w:val="Heading1"/>
        <w:spacing w:after="200" w:before="400"/>
      </w:pPr>
      <w:r>
        <w:t xml:space="preserve">8. Fairness &amp; Bias Testing — Honest Disclosure</w:t>
      </w:r>
    </w:p>
    <w:p>
      <w:pPr>
        <w:spacing w:after="160"/>
      </w:pPr>
      <w:r>
        <w:t xml:space="preserve">This is the highest-priority addition identified in the platform gap analysis, and it is applied here as honestly as the data allows rather than skipped or faked.</w:t>
      </w:r>
    </w:p>
    <w:p>
      <w:pPr>
        <w:pStyle w:val="ListParagraph"/>
        <w:numPr>
          <w:ilvl w:val="0"/>
          <w:numId w:val="2"/>
        </w:numPr>
        <w:spacing w:after="80"/>
      </w:pPr>
      <w:r>
        <w:t xml:space="preserve">The dataset's V1–V28 features are PCA-anonymized specifically to protect cardholder privacy — no race, gender, age, or geography field exists or can be reconstructed. This must be stated plainly in Notebook 05 and in the Model Card, not silently omitted.</w:t>
      </w:r>
    </w:p>
    <w:p>
      <w:pPr>
        <w:pStyle w:val="ListParagraph"/>
        <w:numPr>
          <w:ilvl w:val="0"/>
          <w:numId w:val="2"/>
        </w:numPr>
        <w:spacing w:after="80"/>
      </w:pPr>
      <w:r>
        <w:t xml:space="preserve">What can genuinely be tested instead: whether the model's false-positive rate (a legitimate transaction incorrectly held) is disproportionately concentrated in any transaction-Amount band or time-of-day segment — a real, computable equity-of-impact check even without demographic data.</w:t>
      </w:r>
    </w:p>
    <w:p>
      <w:pPr>
        <w:pStyle w:val="ListParagraph"/>
        <w:numPr>
          <w:ilvl w:val="0"/>
          <w:numId w:val="2"/>
        </w:numPr>
        <w:spacing w:after="80"/>
      </w:pPr>
      <w:r>
        <w:t xml:space="preserve">What cannot be claimed: that the model has been validated for fair-lending-style demographic parity. Any resume or interview framing of this project must say “fairness testing was scoped to the available data; protected-class bias testing was not possible on this anonymized dataset and is disclosed as a limitation” — never that fairness was fully validated.</w:t>
      </w:r>
    </w:p>
    <w:p>
      <w:pPr>
        <w:pStyle w:val="ListParagraph"/>
        <w:numPr>
          <w:ilvl w:val="0"/>
          <w:numId w:val="2"/>
        </w:numPr>
        <w:spacing w:after="80"/>
      </w:pPr>
      <w:r>
        <w:t xml:space="preserve">Reason-code equivalent: since this is fraud scoring (a hold/review decision) rather than a credit-adverse-action decision, formal ECOA reason-code obligations do not directly apply — but the SHAP-based explanation for each flagged transaction is still generated and attached to the review queue, consistent with the model-native-explanation principle.</w:t>
      </w:r>
    </w:p>
    <w:p>
      <w:pPr>
        <w:pStyle w:val="Heading1"/>
        <w:spacing w:after="200" w:before="400"/>
      </w:pPr>
      <w:r>
        <w:t xml:space="preserve">9. Continuous Monitoring Plan</w:t>
      </w:r>
    </w:p>
    <w:p>
      <w:pPr>
        <w:spacing w:after="160"/>
      </w:pPr>
      <w:r>
        <w:t xml:space="preserve">Per the 2026 MRM guidance, monitoring must be continuous with tier-based thresholds — not a one-time validation notebook. For Project 1's Tier 1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3080"/>
            <w:shd w:fill="1F3864" w:color="auto"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080"/>
            <w:shd w:fill="1F3864" w:color="auto" w:val="clear"/>
            <w:tcMar>
              <w:top w:type="dxa" w:w="80"/>
              <w:left w:type="dxa" w:w="120"/>
              <w:bottom w:type="dxa" w:w="80"/>
              <w:right w:type="dxa" w:w="120"/>
            </w:tcMar>
            <w:vAlign w:val="center"/>
          </w:tcPr>
          <w:p>
            <w:pPr>
              <w:jc w:val="left"/>
            </w:pPr>
            <w:r>
              <w:rPr>
                <w:b/>
                <w:bCs/>
                <w:color w:val="FFFFFF"/>
                <w:sz w:val="20"/>
                <w:szCs w:val="20"/>
              </w:rPr>
              <w:t xml:space="preserve">Tier 1 Alert Threshold</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Feature drift</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Population Stability Index (PSI) per feature, training population vs. current scoring population</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PSI &gt; 0.25 on any top-10 SHAP feature</w:t>
            </w:r>
          </w:p>
        </w:tc>
      </w:tr>
      <w:tr>
        <w:trPr>
          <w:cantSplit/>
        </w:trPr>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Score drift</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Kolmogorov–Smirnov statistic on the champion model's score distribution over time</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KS p-value &lt; 0.01 vs. training-time distribution</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Performance drift</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Rolling PR-AUC on labeled outcomes as they resolve</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Drop of more than 5 points from validated PR-AUC</w:t>
            </w:r>
          </w:p>
        </w:tc>
      </w:tr>
    </w:tbl>
    <w:p>
      <w:pPr>
        <w:spacing w:after="160"/>
      </w:pPr>
      <w:r>
        <w:rPr>
          <w:i/>
          <w:iCs/>
        </w:rPr>
        <w:t xml:space="preserve">This dataset covers only a ~48-hour window, so a genuine multi-period drift run is not possible on this data alone — Notebook 06 documents the method and demonstrates it structurally (e.g., splitting the 48-hour window into early vs. late halves as a proxy), and states plainly that a production deployment would run this against real month-over-month data.</w:t>
      </w:r>
    </w:p>
    <w:p>
      <w:pPr>
        <w:pStyle w:val="Heading1"/>
        <w:spacing w:after="200" w:before="400"/>
      </w:pPr>
      <w:r>
        <w:t xml:space="preserve">10. Financial-Impact Reporting Template</w:t>
      </w:r>
    </w:p>
    <w:p>
      <w:pPr>
        <w:spacing w:after="160"/>
      </w:pPr>
      <w:r>
        <w:t xml:space="preserve">Identical structure to the AMEX/Home Credit precedent, with fraud-specific cost framing.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3864" w:color="auto"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6960"/>
            <w:shd w:fill="1F3864" w:color="auto" w:val="clear"/>
            <w:tcMar>
              <w:top w:type="dxa" w:w="80"/>
              <w:left w:type="dxa" w:w="120"/>
              <w:bottom w:type="dxa" w:w="80"/>
              <w:right w:type="dxa" w:w="120"/>
            </w:tcMar>
            <w:vAlign w:val="center"/>
          </w:tcPr>
          <w:p>
            <w:pPr>
              <w:jc w:val="left"/>
            </w:pPr>
            <w:r>
              <w:rPr>
                <w:b/>
                <w:bCs/>
                <w:color w:val="FFFFFF"/>
                <w:sz w:val="20"/>
                <w:szCs w:val="20"/>
              </w:rPr>
              <w:t xml:space="preserve">Content</w:t>
            </w:r>
          </w:p>
        </w:tc>
      </w:tr>
      <w:tr>
        <w:trPr>
          <w:cantSplit/>
        </w:trPr>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Word (.docx)</w:t>
            </w:r>
          </w:p>
        </w:tc>
        <w:tc>
          <w:tcPr>
            <w:tcW w:type="dxa" w:w="6960"/>
            <w:shd w:fill="F2F2F2" w:color="auto" w:val="clear"/>
            <w:tcMar>
              <w:top w:type="dxa" w:w="80"/>
              <w:left w:type="dxa" w:w="120"/>
              <w:bottom w:type="dxa" w:w="80"/>
              <w:right w:type="dxa" w:w="120"/>
            </w:tcMar>
            <w:vAlign w:val="center"/>
          </w:tcPr>
          <w:p>
            <w:pPr>
              <w:jc w:val="left"/>
            </w:pPr>
            <w:r>
              <w:rPr>
                <w:b w:val="false"/>
                <w:bCs w:val="false"/>
                <w:sz w:val="20"/>
                <w:szCs w:val="20"/>
              </w:rPr>
              <w:t xml:space="preserve">Narrative report: business framing, champion model results, cost-benefit summary, fairness disclosure (Section 8), recommendations.</w:t>
            </w:r>
          </w:p>
        </w:tc>
      </w:tr>
      <w:tr>
        <w:trPr>
          <w:cantSplit/>
        </w:trPr>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Excel (.xlsx)</w:t>
            </w:r>
          </w:p>
        </w:tc>
        <w:tc>
          <w:tcPr>
            <w:tcW w:type="dxa" w:w="6960"/>
            <w:shd w:fill="FFFFFF" w:color="auto" w:val="clear"/>
            <w:tcMar>
              <w:top w:type="dxa" w:w="80"/>
              <w:left w:type="dxa" w:w="120"/>
              <w:bottom w:type="dxa" w:w="80"/>
              <w:right w:type="dxa" w:w="120"/>
            </w:tcMar>
            <w:vAlign w:val="center"/>
          </w:tcPr>
          <w:p>
            <w:pPr>
              <w:jc w:val="left"/>
            </w:pPr>
            <w:r>
              <w:rPr>
                <w:b w:val="false"/>
                <w:bCs w:val="false"/>
                <w:sz w:val="20"/>
                <w:szCs w:val="20"/>
              </w:rPr>
              <w:t xml:space="preserve">Dedicated Assumptions sheet (yellow fill / blue font) for false-positive friction cost and false-negative fraud-loss cost per dollar; all other sheets use live formulas; Excel Tables (not PivotTable Slicers) for the confusion-matrix-by-segment breakdown.</w:t>
            </w:r>
          </w:p>
        </w:tc>
      </w:tr>
      <w:tr>
        <w:trPr>
          <w:cantSplit/>
        </w:trPr>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HTML Dashboard</w:t>
            </w:r>
          </w:p>
        </w:tc>
        <w:tc>
          <w:tcPr>
            <w:tcW w:type="dxa" w:w="6960"/>
            <w:shd w:fill="F2F2F2" w:color="auto" w:val="clear"/>
            <w:tcMar>
              <w:top w:type="dxa" w:w="80"/>
              <w:left w:type="dxa" w:w="120"/>
              <w:bottom w:type="dxa" w:w="80"/>
              <w:right w:type="dxa" w:w="120"/>
            </w:tcMar>
            <w:vAlign w:val="center"/>
          </w:tcPr>
          <w:p>
            <w:pPr>
              <w:jc w:val="left"/>
            </w:pPr>
            <w:r>
              <w:rPr>
                <w:b w:val="false"/>
                <w:bCs w:val="false"/>
                <w:sz w:val="20"/>
                <w:szCs w:val="20"/>
              </w:rPr>
              <w:t xml:space="preserve">Chart.js visualizations, data embedded as JSON, vanilla-JS filters by Amount band / time-of-day — no external data fetch dependency.</w:t>
            </w:r>
          </w:p>
        </w:tc>
      </w:tr>
    </w:tbl>
    <w:p>
      <w:pPr>
        <w:spacing w:after="160"/>
      </w:pPr>
      <w:r>
        <w:rPr>
          <w:i/>
          <w:iCs/>
        </w:rPr>
        <w:t xml:space="preserve">Verification sequence (all required, in order): compile-check → fixture run → idempotency re-run → recalc.py on the xlsx (zero formula errors + spot-check) → docx visual render via soffice + pdftoppm.</w:t>
      </w:r>
    </w:p>
    <w:p>
      <w:pPr>
        <w:pStyle w:val="Heading2"/>
        <w:spacing w:after="150" w:before="300"/>
      </w:pPr>
      <w:r>
        <w:t xml:space="preserve">Measured / Assumed / Out-of-Scope Boundary (new in v2.0)</w:t>
      </w:r>
    </w:p>
    <w:p>
      <w:pPr>
        <w:spacing w:after="160"/>
      </w:pPr>
      <w:r>
        <w:t xml:space="preserve">Every financial-impact figure in the Word/Excel/HTML package is labeled into exactly one of these three categories — never blended, and never left unlabeled: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rPr>
          <w:cantSplit/>
          <w:tblHeader/>
        </w:trPr>
        <w:tc>
          <w:tcPr>
            <w:tcW w:type="dxa" w:w="1800"/>
            <w:shd w:fill="1F3864" w:color="auto"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2900"/>
            <w:shd w:fill="1F3864" w:color="auto" w:val="clear"/>
            <w:tcMar>
              <w:top w:type="dxa" w:w="80"/>
              <w:left w:type="dxa" w:w="120"/>
              <w:bottom w:type="dxa" w:w="80"/>
              <w:right w:type="dxa" w:w="120"/>
            </w:tcMar>
            <w:vAlign w:val="center"/>
          </w:tcPr>
          <w:p>
            <w:pPr>
              <w:jc w:val="left"/>
            </w:pPr>
            <w:r>
              <w:rPr>
                <w:b/>
                <w:bCs/>
                <w:color w:val="FFFFFF"/>
                <w:sz w:val="20"/>
                <w:szCs w:val="20"/>
              </w:rPr>
              <w:t xml:space="preserve">Example</w:t>
            </w:r>
          </w:p>
        </w:tc>
        <w:tc>
          <w:tcPr>
            <w:tcW w:type="dxa" w:w="4660"/>
            <w:shd w:fill="1F3864" w:color="auto" w:val="clear"/>
            <w:tcMar>
              <w:top w:type="dxa" w:w="80"/>
              <w:left w:type="dxa" w:w="120"/>
              <w:bottom w:type="dxa" w:w="80"/>
              <w:right w:type="dxa" w:w="120"/>
            </w:tcMar>
            <w:vAlign w:val="center"/>
          </w:tcPr>
          <w:p>
            <w:pPr>
              <w:jc w:val="left"/>
            </w:pPr>
            <w:r>
              <w:rPr>
                <w:b/>
                <w:bCs/>
                <w:color w:val="FFFFFF"/>
                <w:sz w:val="20"/>
                <w:szCs w:val="20"/>
              </w:rPr>
              <w:t xml:space="preserve">Rule</w:t>
            </w:r>
          </w:p>
        </w:tc>
      </w:tr>
      <w:tr>
        <w:trPr>
          <w:cantSplit/>
        </w:trPr>
        <w:tc>
          <w:tcPr>
            <w:tcW w:type="dxa" w:w="1800"/>
            <w:shd w:fill="F2F2F2" w:color="auto" w:val="clear"/>
            <w:tcMar>
              <w:top w:type="dxa" w:w="80"/>
              <w:left w:type="dxa" w:w="120"/>
              <w:bottom w:type="dxa" w:w="80"/>
              <w:right w:type="dxa" w:w="120"/>
            </w:tcMar>
            <w:vAlign w:val="center"/>
          </w:tcPr>
          <w:p>
            <w:pPr>
              <w:jc w:val="left"/>
            </w:pPr>
            <w:r>
              <w:rPr>
                <w:b w:val="false"/>
                <w:bCs w:val="false"/>
                <w:sz w:val="20"/>
                <w:szCs w:val="20"/>
              </w:rPr>
              <w:t xml:space="preserve">Measured</w:t>
            </w:r>
          </w:p>
        </w:tc>
        <w:tc>
          <w:tcPr>
            <w:tcW w:type="dxa" w:w="2900"/>
            <w:shd w:fill="F2F2F2" w:color="auto" w:val="clear"/>
            <w:tcMar>
              <w:top w:type="dxa" w:w="80"/>
              <w:left w:type="dxa" w:w="120"/>
              <w:bottom w:type="dxa" w:w="80"/>
              <w:right w:type="dxa" w:w="120"/>
            </w:tcMar>
            <w:vAlign w:val="center"/>
          </w:tcPr>
          <w:p>
            <w:pPr>
              <w:jc w:val="left"/>
            </w:pPr>
            <w:r>
              <w:rPr>
                <w:b w:val="false"/>
                <w:bCs w:val="false"/>
                <w:sz w:val="20"/>
                <w:szCs w:val="20"/>
              </w:rPr>
              <w:t xml:space="preserve">Fraud-loss $ prevented (real Amount × real confusion matrix)</w:t>
            </w:r>
          </w:p>
        </w:tc>
        <w:tc>
          <w:tcPr>
            <w:tcW w:type="dxa" w:w="4660"/>
            <w:shd w:fill="F2F2F2" w:color="auto" w:val="clear"/>
            <w:tcMar>
              <w:top w:type="dxa" w:w="80"/>
              <w:left w:type="dxa" w:w="120"/>
              <w:bottom w:type="dxa" w:w="80"/>
              <w:right w:type="dxa" w:w="120"/>
            </w:tcMar>
            <w:vAlign w:val="center"/>
          </w:tcPr>
          <w:p>
            <w:pPr>
              <w:jc w:val="left"/>
            </w:pPr>
            <w:r>
              <w:rPr>
                <w:b w:val="false"/>
                <w:bCs w:val="false"/>
                <w:sz w:val="20"/>
                <w:szCs w:val="20"/>
              </w:rPr>
              <w:t xml:space="preserve">Computed directly from the real run's outputs; no external input required</w:t>
            </w:r>
          </w:p>
        </w:tc>
      </w:tr>
      <w:tr>
        <w:trPr>
          <w:cantSplit/>
        </w:trPr>
        <w:tc>
          <w:tcPr>
            <w:tcW w:type="dxa" w:w="1800"/>
            <w:shd w:fill="FFFFFF" w:color="auto" w:val="clear"/>
            <w:tcMar>
              <w:top w:type="dxa" w:w="80"/>
              <w:left w:type="dxa" w:w="120"/>
              <w:bottom w:type="dxa" w:w="80"/>
              <w:right w:type="dxa" w:w="120"/>
            </w:tcMar>
            <w:vAlign w:val="center"/>
          </w:tcPr>
          <w:p>
            <w:pPr>
              <w:jc w:val="left"/>
            </w:pPr>
            <w:r>
              <w:rPr>
                <w:b w:val="false"/>
                <w:bCs w:val="false"/>
                <w:sz w:val="20"/>
                <w:szCs w:val="20"/>
              </w:rPr>
              <w:t xml:space="preserve">Assumed</w:t>
            </w:r>
          </w:p>
        </w:tc>
        <w:tc>
          <w:tcPr>
            <w:tcW w:type="dxa" w:w="2900"/>
            <w:shd w:fill="FFFFFF" w:color="auto" w:val="clear"/>
            <w:tcMar>
              <w:top w:type="dxa" w:w="80"/>
              <w:left w:type="dxa" w:w="120"/>
              <w:bottom w:type="dxa" w:w="80"/>
              <w:right w:type="dxa" w:w="120"/>
            </w:tcMar>
            <w:vAlign w:val="center"/>
          </w:tcPr>
          <w:p>
            <w:pPr>
              <w:jc w:val="left"/>
            </w:pPr>
            <w:r>
              <w:rPr>
                <w:b w:val="false"/>
                <w:bCs w:val="false"/>
                <w:sz w:val="20"/>
                <w:szCs w:val="20"/>
              </w:rPr>
              <w:t xml:space="preserve">Net benefit / ROI (measured loss prevented minus an assumed per-case investigation cost)</w:t>
            </w:r>
          </w:p>
        </w:tc>
        <w:tc>
          <w:tcPr>
            <w:tcW w:type="dxa" w:w="4660"/>
            <w:shd w:fill="FFFFFF" w:color="auto" w:val="clear"/>
            <w:tcMar>
              <w:top w:type="dxa" w:w="80"/>
              <w:left w:type="dxa" w:w="120"/>
              <w:bottom w:type="dxa" w:w="80"/>
              <w:right w:type="dxa" w:w="120"/>
            </w:tcMar>
            <w:vAlign w:val="center"/>
          </w:tcPr>
          <w:p>
            <w:pPr>
              <w:jc w:val="left"/>
            </w:pPr>
            <w:r>
              <w:rPr>
                <w:b w:val="false"/>
                <w:bCs w:val="false"/>
                <w:sz w:val="20"/>
                <w:szCs w:val="20"/>
              </w:rPr>
              <w:t xml:space="preserve">Every input that isn't in the dataset itself goes on the Excel Assumptions sheet, yellow-fill/blue-font, with a one-line source note</w:t>
            </w:r>
          </w:p>
        </w:tc>
      </w:tr>
      <w:tr>
        <w:trPr>
          <w:cantSplit/>
        </w:trPr>
        <w:tc>
          <w:tcPr>
            <w:tcW w:type="dxa" w:w="1800"/>
            <w:shd w:fill="F2F2F2" w:color="auto" w:val="clear"/>
            <w:tcMar>
              <w:top w:type="dxa" w:w="80"/>
              <w:left w:type="dxa" w:w="120"/>
              <w:bottom w:type="dxa" w:w="80"/>
              <w:right w:type="dxa" w:w="120"/>
            </w:tcMar>
            <w:vAlign w:val="center"/>
          </w:tcPr>
          <w:p>
            <w:pPr>
              <w:jc w:val="left"/>
            </w:pPr>
            <w:r>
              <w:rPr>
                <w:b w:val="false"/>
                <w:bCs w:val="false"/>
                <w:sz w:val="20"/>
                <w:szCs w:val="20"/>
              </w:rPr>
              <w:t xml:space="preserve">Out-of-scope</w:t>
            </w:r>
          </w:p>
        </w:tc>
        <w:tc>
          <w:tcPr>
            <w:tcW w:type="dxa" w:w="2900"/>
            <w:shd w:fill="F2F2F2" w:color="auto" w:val="clear"/>
            <w:tcMar>
              <w:top w:type="dxa" w:w="80"/>
              <w:left w:type="dxa" w:w="120"/>
              <w:bottom w:type="dxa" w:w="80"/>
              <w:right w:type="dxa" w:w="120"/>
            </w:tcMar>
            <w:vAlign w:val="center"/>
          </w:tcPr>
          <w:p>
            <w:pPr>
              <w:jc w:val="left"/>
            </w:pPr>
            <w:r>
              <w:rPr>
                <w:b w:val="false"/>
                <w:bCs w:val="false"/>
                <w:sz w:val="20"/>
                <w:szCs w:val="20"/>
              </w:rPr>
              <w:t xml:space="preserve">“New business opportunities” / revenue expansion claims</w:t>
            </w:r>
          </w:p>
        </w:tc>
        <w:tc>
          <w:tcPr>
            <w:tcW w:type="dxa" w:w="4660"/>
            <w:shd w:fill="F2F2F2" w:color="auto" w:val="clear"/>
            <w:tcMar>
              <w:top w:type="dxa" w:w="80"/>
              <w:left w:type="dxa" w:w="120"/>
              <w:bottom w:type="dxa" w:w="80"/>
              <w:right w:type="dxa" w:w="120"/>
            </w:tcMar>
            <w:vAlign w:val="center"/>
          </w:tcPr>
          <w:p>
            <w:pPr>
              <w:jc w:val="left"/>
            </w:pPr>
            <w:r>
              <w:rPr>
                <w:b w:val="false"/>
                <w:bCs w:val="false"/>
                <w:sz w:val="20"/>
                <w:szCs w:val="20"/>
              </w:rPr>
              <w:t xml:space="preserve">Not claimed at all in this project's deliverables — this dataset has no field that supports a genuine data-driven claim of that kind</w:t>
            </w:r>
          </w:p>
        </w:tc>
      </w:tr>
    </w:tbl>
    <w:p>
      <w:pPr>
        <w:pStyle w:val="Heading2"/>
        <w:spacing w:after="150" w:before="300"/>
      </w:pPr>
      <w:r>
        <w:t xml:space="preserve">Real-World-Sourced Cost Assumptions (v6.1)</w:t>
      </w:r>
    </w:p>
    <w:p>
      <w:pPr>
        <w:spacing w:after="160"/>
      </w:pPr>
      <w:r>
        <w:t xml:space="preserve">Rather than arbitrary placeholders, BOTH sides of the cost equation in the Excel Assumptions sheet are now anchored to real, published industry figures:</w:t>
      </w:r>
    </w:p>
    <w:p>
      <w:pPr>
        <w:pStyle w:val="ListParagraph"/>
        <w:numPr>
          <w:ilvl w:val="0"/>
          <w:numId w:val="2"/>
        </w:numPr>
        <w:spacing w:after="80"/>
      </w:pPr>
      <w:r>
        <w:t xml:space="preserve">False-negative (missed fraud) cost: the LexisNexis Risk Solutions True Cost of Fraud™ study reports North American financial institutions incur $4.41 in total cost (fines, fees, and investigation effort) for every $1 of actual fraud loss.</w:t>
      </w:r>
    </w:p>
    <w:p>
      <w:pPr>
        <w:pStyle w:val="ListParagraph"/>
        <w:numPr>
          <w:ilvl w:val="0"/>
          <w:numId w:val="2"/>
        </w:numPr>
        <w:spacing w:after="80"/>
      </w:pPr>
      <w:r>
        <w:t xml:space="preserve">False-positive (false decline) cost: industry data (Aite-Novarica's $443B global false-decline estimate against Statista's $48B global ecommerce fraud-loss estimate, as reported by Riskified) puts false declines at roughly 9.2× the aggregate cost of actual fraud losses globally — real evidence that being too aggressive is empirically the more expensive mistake industry-wide, not just a theoretical trade-off.</w:t>
      </w:r>
    </w:p>
    <w:p>
      <w:pPr>
        <w:spacing w:after="160"/>
      </w:pPr>
      <w:r>
        <w:rPr>
          <w:i/>
          <w:iCs/>
        </w:rPr>
        <w:t xml:space="preserve">Both remain labeled ASSUMPTIONs (industry averages, not measured on this specific dataset or institution), but both are now sourced assumptions instead of invented numbers — cited in the Assumptions sheet exactly as any other attribution in this playbook, and wired directly into the real threshold-selection code in Section 17.2's class_imbalance_utils.py module.</w:t>
      </w:r>
    </w:p>
    <w:p>
      <w:pPr>
        <w:pStyle w:val="Heading2"/>
        <w:spacing w:after="150" w:before="300"/>
      </w:pPr>
      <w:r>
        <w:t xml:space="preserve">Naive-Baseline Comparison (new in v2.0)</w:t>
      </w:r>
    </w:p>
    <w:p>
      <w:pPr>
        <w:spacing w:after="160"/>
      </w:pPr>
      <w:r>
        <w:t xml:space="preserve">To quantify the champion model's real added value rather than asserting it, the financial-impact package compares the champion model's measured loss-prevented figure against a simple, real, non-ML rule-based baseline computed on the same data (e.g., “flag every transaction above a fixed Amount threshold”, tuned to the baseline's own best real threshold). The gap between the two is the honest, data-driven answer to “what did the modeling actually buy us over a simple rule.”</w:t>
      </w:r>
    </w:p>
    <w:p>
      <w:pPr>
        <w:pStyle w:val="Heading1"/>
        <w:spacing w:after="200" w:before="400"/>
      </w:pPr>
      <w:r>
        <w:t xml:space="preserve">11. Model Card (New Standard Deliverable)</w:t>
      </w:r>
    </w:p>
    <w:p>
      <w:pPr>
        <w:spacing w:after="160"/>
      </w:pPr>
      <w:r>
        <w:t xml:space="preserve">A one-to-two-page, standalone artifact — separate from the financial-impact package — version-locked to the champion model. Required fields:</w:t>
      </w:r>
    </w:p>
    <w:p>
      <w:pPr>
        <w:pStyle w:val="ListParagraph"/>
        <w:numPr>
          <w:ilvl w:val="0"/>
          <w:numId w:val="2"/>
        </w:numPr>
        <w:spacing w:after="80"/>
      </w:pPr>
      <w:r>
        <w:t xml:space="preserve">Intended use and explicit out-of-scope uses</w:t>
      </w:r>
    </w:p>
    <w:p>
      <w:pPr>
        <w:pStyle w:val="ListParagraph"/>
        <w:numPr>
          <w:ilvl w:val="0"/>
          <w:numId w:val="2"/>
        </w:numPr>
        <w:spacing w:after="80"/>
      </w:pPr>
      <w:r>
        <w:t xml:space="preserve">Training data provenance and the anonymization limitation from Section 2</w:t>
      </w:r>
    </w:p>
    <w:p>
      <w:pPr>
        <w:pStyle w:val="ListParagraph"/>
        <w:numPr>
          <w:ilvl w:val="0"/>
          <w:numId w:val="2"/>
        </w:numPr>
        <w:spacing w:after="80"/>
      </w:pPr>
      <w:r>
        <w:t xml:space="preserve">Performance metrics: PR-AUC, precision/recall at the chosen operating threshold, and the cost-sensitive metric from Section 6</w:t>
      </w:r>
    </w:p>
    <w:p>
      <w:pPr>
        <w:pStyle w:val="ListParagraph"/>
        <w:numPr>
          <w:ilvl w:val="0"/>
          <w:numId w:val="2"/>
        </w:numPr>
        <w:spacing w:after="80"/>
      </w:pPr>
      <w:r>
        <w:t xml:space="preserve">Known limitations, prominently including the fairness-testing scope limit from Section 8</w:t>
      </w:r>
    </w:p>
    <w:p>
      <w:pPr>
        <w:pStyle w:val="ListParagraph"/>
        <w:numPr>
          <w:ilvl w:val="0"/>
          <w:numId w:val="2"/>
        </w:numPr>
        <w:spacing w:after="80"/>
      </w:pPr>
      <w:r>
        <w:t xml:space="preserve">Monitoring plan, referencing Section 9 directly</w:t>
      </w:r>
    </w:p>
    <w:p>
      <w:pPr>
        <w:pStyle w:val="ListParagraph"/>
        <w:numPr>
          <w:ilvl w:val="0"/>
          <w:numId w:val="2"/>
        </w:numPr>
        <w:spacing w:after="80"/>
      </w:pPr>
      <w:r>
        <w:t xml:space="preserve">Model version hash and training-data snapshot identifier</w:t>
      </w:r>
    </w:p>
    <w:p>
      <w:pPr>
        <w:pStyle w:val="Heading1"/>
        <w:spacing w:after="200" w:before="400"/>
      </w:pPr>
      <w:r>
        <w:t xml:space="preserve">12. Serving Architecture &amp; Latency SLA</w:t>
      </w:r>
    </w:p>
    <w:p>
      <w:pPr>
        <w:pStyle w:val="ListParagraph"/>
        <w:numPr>
          <w:ilvl w:val="0"/>
          <w:numId w:val="2"/>
        </w:numPr>
        <w:spacing w:after="80"/>
      </w:pPr>
      <w:r>
        <w:t xml:space="preserve">Stated SLA target: sub-100ms p99 single-inference latency, matching real-time transaction-decisioning industry norms.</w:t>
      </w:r>
    </w:p>
    <w:p>
      <w:pPr>
        <w:pStyle w:val="ListParagraph"/>
        <w:numPr>
          <w:ilvl w:val="0"/>
          <w:numId w:val="2"/>
        </w:numPr>
        <w:spacing w:after="80"/>
      </w:pPr>
      <w:r>
        <w:t xml:space="preserve">Measured (not assumed) latency for the actual champion model on a single real transaction row, reported honestly even if it misses the target.</w:t>
      </w:r>
    </w:p>
    <w:p>
      <w:pPr>
        <w:pStyle w:val="ListParagraph"/>
        <w:numPr>
          <w:ilvl w:val="0"/>
          <w:numId w:val="2"/>
        </w:numPr>
        <w:spacing w:after="80"/>
      </w:pPr>
      <w:r>
        <w:t xml:space="preserve">Training-serving consistency check: recompute a sample of engineered features (Section 5, Notebook 02) as if served “online” from raw fields, and diff against the training-time computed values to catch training-serving skew before it reaches production.</w:t>
      </w:r>
    </w:p>
    <w:p>
      <w:pPr>
        <w:pStyle w:val="ListParagraph"/>
        <w:numPr>
          <w:ilvl w:val="0"/>
          <w:numId w:val="2"/>
        </w:numPr>
        <w:spacing w:after="80"/>
      </w:pPr>
      <w:r>
        <w:t xml:space="preserve">Two-store design note: which features would sit in an offline (batch) store versus an online (low-latency) store in a real deployment, documented conceptually since no live serving stack is in scope for this portfolio project.</w:t>
      </w:r>
    </w:p>
    <w:p>
      <w:pPr>
        <w:pStyle w:val="Heading1"/>
        <w:spacing w:after="200" w:before="400"/>
      </w:pPr>
      <w:r>
        <w:t xml:space="preserve">13. Standing Lessons Carried Forward From Real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shd w:fill="1F3864" w:color="auto" w:val="clear"/>
            <w:tcMar>
              <w:top w:type="dxa" w:w="80"/>
              <w:left w:type="dxa" w:w="120"/>
              <w:bottom w:type="dxa" w:w="80"/>
              <w:right w:type="dxa" w:w="120"/>
            </w:tcMar>
            <w:vAlign w:val="center"/>
          </w:tcPr>
          <w:p>
            <w:pPr>
              <w:jc w:val="left"/>
            </w:pPr>
            <w:r>
              <w:rPr>
                <w:b/>
                <w:bCs/>
                <w:color w:val="FFFFFF"/>
                <w:sz w:val="20"/>
                <w:szCs w:val="20"/>
              </w:rPr>
              <w:t xml:space="preserve">Lesson</w:t>
            </w:r>
          </w:p>
        </w:tc>
        <w:tc>
          <w:tcPr>
            <w:tcW w:type="dxa" w:w="3380"/>
            <w:shd w:fill="1F3864" w:color="auto" w:val="clear"/>
            <w:tcMar>
              <w:top w:type="dxa" w:w="80"/>
              <w:left w:type="dxa" w:w="120"/>
              <w:bottom w:type="dxa" w:w="80"/>
              <w:right w:type="dxa" w:w="120"/>
            </w:tcMar>
            <w:vAlign w:val="center"/>
          </w:tcPr>
          <w:p>
            <w:pPr>
              <w:jc w:val="left"/>
            </w:pPr>
            <w:r>
              <w:rPr>
                <w:b/>
                <w:bCs/>
                <w:color w:val="FFFFFF"/>
                <w:sz w:val="20"/>
                <w:szCs w:val="20"/>
              </w:rPr>
              <w:t xml:space="preserve">What Went Wrong Before</w:t>
            </w:r>
          </w:p>
        </w:tc>
        <w:tc>
          <w:tcPr>
            <w:tcW w:type="dxa" w:w="3380"/>
            <w:shd w:fill="1F3864" w:color="auto" w:val="clear"/>
            <w:tcMar>
              <w:top w:type="dxa" w:w="80"/>
              <w:left w:type="dxa" w:w="120"/>
              <w:bottom w:type="dxa" w:w="80"/>
              <w:right w:type="dxa" w:w="120"/>
            </w:tcMar>
            <w:vAlign w:val="center"/>
          </w:tcPr>
          <w:p>
            <w:pPr>
              <w:jc w:val="left"/>
            </w:pPr>
            <w:r>
              <w:rPr>
                <w:b/>
                <w:bCs/>
                <w:color w:val="FFFFFF"/>
                <w:sz w:val="20"/>
                <w:szCs w:val="20"/>
              </w:rPr>
              <w:t xml:space="preserve">Applied Here</w:t>
            </w:r>
          </w:p>
        </w:tc>
      </w:tr>
      <w:tr>
        <w:trPr>
          <w:cantSplit/>
        </w:trPr>
        <w:tc>
          <w:tcPr>
            <w:tcW w:type="dxa" w:w="2600"/>
            <w:shd w:fill="F2F2F2" w:color="auto" w:val="clear"/>
            <w:tcMar>
              <w:top w:type="dxa" w:w="80"/>
              <w:left w:type="dxa" w:w="120"/>
              <w:bottom w:type="dxa" w:w="80"/>
              <w:right w:type="dxa" w:w="120"/>
            </w:tcMar>
            <w:vAlign w:val="center"/>
          </w:tcPr>
          <w:p>
            <w:pPr>
              <w:jc w:val="left"/>
            </w:pPr>
            <w:r>
              <w:rPr>
                <w:b w:val="false"/>
                <w:bCs w:val="false"/>
                <w:sz w:val="20"/>
                <w:szCs w:val="20"/>
              </w:rPr>
              <w:t xml:space="preserve">Dtype inference</w:t>
            </w:r>
          </w:p>
        </w:tc>
        <w:tc>
          <w:tcPr>
            <w:tcW w:type="dxa" w:w="3380"/>
            <w:shd w:fill="F2F2F2" w:color="auto" w:val="clear"/>
            <w:tcMar>
              <w:top w:type="dxa" w:w="80"/>
              <w:left w:type="dxa" w:w="120"/>
              <w:bottom w:type="dxa" w:w="80"/>
              <w:right w:type="dxa" w:w="120"/>
            </w:tcMar>
            <w:vAlign w:val="center"/>
          </w:tcPr>
          <w:p>
            <w:pPr>
              <w:jc w:val="left"/>
            </w:pPr>
            <w:r>
              <w:rPr>
                <w:b w:val="false"/>
                <w:bCs w:val="false"/>
                <w:sz w:val="20"/>
                <w:szCs w:val="20"/>
              </w:rPr>
              <w:t xml:space="preserve">Assumed dtype from column name/suffix instead of checking loaded data</w:t>
            </w:r>
          </w:p>
        </w:tc>
        <w:tc>
          <w:tcPr>
            <w:tcW w:type="dxa" w:w="3380"/>
            <w:shd w:fill="F2F2F2" w:color="auto" w:val="clear"/>
            <w:tcMar>
              <w:top w:type="dxa" w:w="80"/>
              <w:left w:type="dxa" w:w="120"/>
              <w:bottom w:type="dxa" w:w="80"/>
              <w:right w:type="dxa" w:w="120"/>
            </w:tcMar>
            <w:vAlign w:val="center"/>
          </w:tcPr>
          <w:p>
            <w:pPr>
              <w:jc w:val="left"/>
            </w:pPr>
            <w:r>
              <w:rPr>
                <w:b w:val="false"/>
                <w:bCs w:val="false"/>
                <w:sz w:val="20"/>
                <w:szCs w:val="20"/>
              </w:rPr>
              <w:t xml:space="preserve">Every dtype check in Notebook 01/02 uses pd.api.types.is_numeric_dtype() against the real loaded DataFrame</w:t>
            </w:r>
          </w:p>
        </w:tc>
      </w:tr>
      <w:tr>
        <w:trPr>
          <w:cantSplit/>
        </w:trPr>
        <w:tc>
          <w:tcPr>
            <w:tcW w:type="dxa" w:w="2600"/>
            <w:shd w:fill="FFFFFF" w:color="auto" w:val="clear"/>
            <w:tcMar>
              <w:top w:type="dxa" w:w="80"/>
              <w:left w:type="dxa" w:w="120"/>
              <w:bottom w:type="dxa" w:w="80"/>
              <w:right w:type="dxa" w:w="120"/>
            </w:tcMar>
            <w:vAlign w:val="center"/>
          </w:tcPr>
          <w:p>
            <w:pPr>
              <w:jc w:val="left"/>
            </w:pPr>
            <w:r>
              <w:rPr>
                <w:b w:val="false"/>
                <w:bCs w:val="false"/>
                <w:sz w:val="20"/>
                <w:szCs w:val="20"/>
              </w:rPr>
              <w:t xml:space="preserve">Floating-point precision</w:t>
            </w:r>
          </w:p>
        </w:tc>
        <w:tc>
          <w:tcPr>
            <w:tcW w:type="dxa" w:w="3380"/>
            <w:shd w:fill="FFFFFF" w:color="auto" w:val="clear"/>
            <w:tcMar>
              <w:top w:type="dxa" w:w="80"/>
              <w:left w:type="dxa" w:w="120"/>
              <w:bottom w:type="dxa" w:w="80"/>
              <w:right w:type="dxa" w:w="120"/>
            </w:tcMar>
            <w:vAlign w:val="center"/>
          </w:tcPr>
          <w:p>
            <w:pPr>
              <w:jc w:val="left"/>
            </w:pPr>
            <w:r>
              <w:rPr>
                <w:b w:val="false"/>
                <w:bCs w:val="false"/>
                <w:sz w:val="20"/>
                <w:szCs w:val="20"/>
              </w:rPr>
              <w:t xml:space="preserve">A rounded weight fed into deployed scoring code silently diverged from an independent recomputation</w:t>
            </w:r>
          </w:p>
        </w:tc>
        <w:tc>
          <w:tcPr>
            <w:tcW w:type="dxa" w:w="3380"/>
            <w:shd w:fill="FFFFFF" w:color="auto" w:val="clear"/>
            <w:tcMar>
              <w:top w:type="dxa" w:w="80"/>
              <w:left w:type="dxa" w:w="120"/>
              <w:bottom w:type="dxa" w:w="80"/>
              <w:right w:type="dxa" w:w="120"/>
            </w:tcMar>
            <w:vAlign w:val="center"/>
          </w:tcPr>
          <w:p>
            <w:pPr>
              <w:jc w:val="left"/>
            </w:pPr>
            <w:r>
              <w:rPr>
                <w:b w:val="false"/>
                <w:bCs w:val="false"/>
                <w:sz w:val="20"/>
                <w:szCs w:val="20"/>
              </w:rPr>
              <w:t xml:space="preserve">Champion model's threshold and any weight used downstream is saved at full precision; downstream code reads it directly, never recomputes it</w:t>
            </w:r>
          </w:p>
        </w:tc>
      </w:tr>
      <w:tr>
        <w:trPr>
          <w:cantSplit/>
        </w:trPr>
        <w:tc>
          <w:tcPr>
            <w:tcW w:type="dxa" w:w="2600"/>
            <w:shd w:fill="F2F2F2" w:color="auto" w:val="clear"/>
            <w:tcMar>
              <w:top w:type="dxa" w:w="80"/>
              <w:left w:type="dxa" w:w="120"/>
              <w:bottom w:type="dxa" w:w="80"/>
              <w:right w:type="dxa" w:w="120"/>
            </w:tcMar>
            <w:vAlign w:val="center"/>
          </w:tcPr>
          <w:p>
            <w:pPr>
              <w:jc w:val="left"/>
            </w:pPr>
            <w:r>
              <w:rPr>
                <w:b w:val="false"/>
                <w:bCs w:val="false"/>
                <w:sz w:val="20"/>
                <w:szCs w:val="20"/>
              </w:rPr>
              <w:t xml:space="preserve">Percentile-derived cutoffs</w:t>
            </w:r>
          </w:p>
        </w:tc>
        <w:tc>
          <w:tcPr>
            <w:tcW w:type="dxa" w:w="3380"/>
            <w:shd w:fill="F2F2F2" w:color="auto" w:val="clear"/>
            <w:tcMar>
              <w:top w:type="dxa" w:w="80"/>
              <w:left w:type="dxa" w:w="120"/>
              <w:bottom w:type="dxa" w:w="80"/>
              <w:right w:type="dxa" w:w="120"/>
            </w:tcMar>
            <w:vAlign w:val="center"/>
          </w:tcPr>
          <w:p>
            <w:pPr>
              <w:jc w:val="left"/>
            </w:pPr>
            <w:r>
              <w:rPr>
                <w:b w:val="false"/>
                <w:bCs w:val="false"/>
                <w:sz w:val="20"/>
                <w:szCs w:val="20"/>
              </w:rPr>
              <w:t xml:space="preserve">A window length chosen via percentile of a right-censored distribution collapsed onto the observation ceiling</w:t>
            </w:r>
          </w:p>
        </w:tc>
        <w:tc>
          <w:tcPr>
            <w:tcW w:type="dxa" w:w="3380"/>
            <w:shd w:fill="F2F2F2" w:color="auto" w:val="clear"/>
            <w:tcMar>
              <w:top w:type="dxa" w:w="80"/>
              <w:left w:type="dxa" w:w="120"/>
              <w:bottom w:type="dxa" w:w="80"/>
              <w:right w:type="dxa" w:w="120"/>
            </w:tcMar>
            <w:vAlign w:val="center"/>
          </w:tcPr>
          <w:p>
            <w:pPr>
              <w:jc w:val="left"/>
            </w:pPr>
            <w:r>
              <w:rPr>
                <w:b w:val="false"/>
                <w:bCs w:val="false"/>
                <w:sz w:val="20"/>
                <w:szCs w:val="20"/>
              </w:rPr>
              <w:t xml:space="preserve">Any rolling-velocity window in Notebook 02 uses fixed candidate checkpoints, tested as a set</w:t>
            </w:r>
          </w:p>
        </w:tc>
      </w:tr>
      <w:tr>
        <w:trPr>
          <w:cantSplit/>
        </w:trPr>
        <w:tc>
          <w:tcPr>
            <w:tcW w:type="dxa" w:w="2600"/>
            <w:shd w:fill="FFFFFF" w:color="auto" w:val="clear"/>
            <w:tcMar>
              <w:top w:type="dxa" w:w="80"/>
              <w:left w:type="dxa" w:w="120"/>
              <w:bottom w:type="dxa" w:w="80"/>
              <w:right w:type="dxa" w:w="120"/>
            </w:tcMar>
            <w:vAlign w:val="center"/>
          </w:tcPr>
          <w:p>
            <w:pPr>
              <w:jc w:val="left"/>
            </w:pPr>
            <w:r>
              <w:rPr>
                <w:b w:val="false"/>
                <w:bCs w:val="false"/>
                <w:sz w:val="20"/>
                <w:szCs w:val="20"/>
              </w:rPr>
              <w:t xml:space="preserve">Missing-value detection</w:t>
            </w:r>
          </w:p>
        </w:tc>
        <w:tc>
          <w:tcPr>
            <w:tcW w:type="dxa" w:w="3380"/>
            <w:shd w:fill="FFFFFF" w:color="auto" w:val="clear"/>
            <w:tcMar>
              <w:top w:type="dxa" w:w="80"/>
              <w:left w:type="dxa" w:w="120"/>
              <w:bottom w:type="dxa" w:w="80"/>
              <w:right w:type="dxa" w:w="120"/>
            </w:tcMar>
            <w:vAlign w:val="center"/>
          </w:tcPr>
          <w:p>
            <w:pPr>
              <w:jc w:val="left"/>
            </w:pPr>
            <w:r>
              <w:rPr>
                <w:b w:val="false"/>
                <w:bCs w:val="false"/>
                <w:sz w:val="20"/>
                <w:szCs w:val="20"/>
              </w:rPr>
              <w:t xml:space="preserve">Checked for None while pandas had already converted missing values to NaN</w:t>
            </w:r>
          </w:p>
        </w:tc>
        <w:tc>
          <w:tcPr>
            <w:tcW w:type="dxa" w:w="3380"/>
            <w:shd w:fill="FFFFFF" w:color="auto" w:val="clear"/>
            <w:tcMar>
              <w:top w:type="dxa" w:w="80"/>
              <w:left w:type="dxa" w:w="120"/>
              <w:bottom w:type="dxa" w:w="80"/>
              <w:right w:type="dxa" w:w="120"/>
            </w:tcMar>
            <w:vAlign w:val="center"/>
          </w:tcPr>
          <w:p>
            <w:pPr>
              <w:jc w:val="left"/>
            </w:pPr>
            <w:r>
              <w:rPr>
                <w:b w:val="false"/>
                <w:bCs w:val="false"/>
                <w:sz w:val="20"/>
                <w:szCs w:val="20"/>
              </w:rPr>
              <w:t xml:space="preserve">All missing-value checks use pd.isna() / .isnull(), never a bare is None check</w:t>
            </w:r>
          </w:p>
        </w:tc>
      </w:tr>
      <w:tr>
        <w:trPr>
          <w:cantSplit/>
        </w:trPr>
        <w:tc>
          <w:tcPr>
            <w:tcW w:type="dxa" w:w="2600"/>
            <w:shd w:fill="F2F2F2" w:color="auto" w:val="clear"/>
            <w:tcMar>
              <w:top w:type="dxa" w:w="80"/>
              <w:left w:type="dxa" w:w="120"/>
              <w:bottom w:type="dxa" w:w="80"/>
              <w:right w:type="dxa" w:w="120"/>
            </w:tcMar>
            <w:vAlign w:val="center"/>
          </w:tcPr>
          <w:p>
            <w:pPr>
              <w:jc w:val="left"/>
            </w:pPr>
            <w:r>
              <w:rPr>
                <w:b w:val="false"/>
                <w:bCs w:val="false"/>
                <w:sz w:val="20"/>
                <w:szCs w:val="20"/>
              </w:rPr>
              <w:t xml:space="preserve">Thread-ceiling application order</w:t>
            </w:r>
          </w:p>
        </w:tc>
        <w:tc>
          <w:tcPr>
            <w:tcW w:type="dxa" w:w="3380"/>
            <w:shd w:fill="F2F2F2" w:color="auto" w:val="clear"/>
            <w:tcMar>
              <w:top w:type="dxa" w:w="80"/>
              <w:left w:type="dxa" w:w="120"/>
              <w:bottom w:type="dxa" w:w="80"/>
              <w:right w:type="dxa" w:w="120"/>
            </w:tcMar>
            <w:vAlign w:val="center"/>
          </w:tcPr>
          <w:p>
            <w:pPr>
              <w:jc w:val="left"/>
            </w:pPr>
            <w:r>
              <w:rPr>
                <w:b w:val="false"/>
                <w:bCs w:val="false"/>
                <w:sz w:val="20"/>
                <w:szCs w:val="20"/>
              </w:rPr>
              <w:t xml:space="preserve">WARP's thread cap was computed but not applied via os.environ before heavy imports, silently disadvantaging some benchmark candidates</w:t>
            </w:r>
          </w:p>
        </w:tc>
        <w:tc>
          <w:tcPr>
            <w:tcW w:type="dxa" w:w="3380"/>
            <w:shd w:fill="F2F2F2" w:color="auto" w:val="clear"/>
            <w:tcMar>
              <w:top w:type="dxa" w:w="80"/>
              <w:left w:type="dxa" w:w="120"/>
              <w:bottom w:type="dxa" w:w="80"/>
              <w:right w:type="dxa" w:w="120"/>
            </w:tcMar>
            <w:vAlign w:val="center"/>
          </w:tcPr>
          <w:p>
            <w:pPr>
              <w:jc w:val="left"/>
            </w:pPr>
            <w:r>
              <w:rPr>
                <w:b w:val="false"/>
                <w:bCs w:val="false"/>
                <w:sz w:val="20"/>
                <w:szCs w:val="20"/>
              </w:rPr>
              <w:t xml:space="preserve">Thread-ceiling env vars are set at the very top of Notebook 03, before any ML library import</w:t>
            </w:r>
          </w:p>
        </w:tc>
      </w:tr>
      <w:tr>
        <w:trPr>
          <w:cantSplit/>
        </w:trPr>
        <w:tc>
          <w:tcPr>
            <w:tcW w:type="dxa" w:w="2600"/>
            <w:shd w:fill="FFFFFF" w:color="auto" w:val="clear"/>
            <w:tcMar>
              <w:top w:type="dxa" w:w="80"/>
              <w:left w:type="dxa" w:w="120"/>
              <w:bottom w:type="dxa" w:w="80"/>
              <w:right w:type="dxa" w:w="120"/>
            </w:tcMar>
            <w:vAlign w:val="center"/>
          </w:tcPr>
          <w:p>
            <w:pPr>
              <w:jc w:val="left"/>
            </w:pPr>
            <w:r>
              <w:rPr>
                <w:b w:val="false"/>
                <w:bCs w:val="false"/>
                <w:sz w:val="20"/>
                <w:szCs w:val="20"/>
              </w:rPr>
              <w:t xml:space="preserve">Unvectorized threshold search (found live, v8.0)</w:t>
            </w:r>
          </w:p>
        </w:tc>
        <w:tc>
          <w:tcPr>
            <w:tcW w:type="dxa" w:w="3380"/>
            <w:shd w:fill="FFFFFF" w:color="auto" w:val="clear"/>
            <w:tcMar>
              <w:top w:type="dxa" w:w="80"/>
              <w:left w:type="dxa" w:w="120"/>
              <w:bottom w:type="dxa" w:w="80"/>
              <w:right w:type="dxa" w:w="120"/>
            </w:tcMar>
            <w:vAlign w:val="center"/>
          </w:tcPr>
          <w:p>
            <w:pPr>
              <w:jc w:val="left"/>
            </w:pPr>
            <w:r>
              <w:rPr>
                <w:b w:val="false"/>
                <w:bCs w:val="false"/>
                <w:sz w:val="20"/>
                <w:szCs w:val="20"/>
              </w:rPr>
              <w:t xml:space="preserve">best_threshold_by_cost() looped over every candidate threshold from precision_recall_curve in plain Python, recomputing boolean masks over the FULL array each time — O(n) work × O(n) thresholds = O(n^2). On the real 284,807-row dataset this did not finish in a reasonable time during the real Notebook 02 run and had to be killed mid-execution.</w:t>
            </w:r>
          </w:p>
        </w:tc>
        <w:tc>
          <w:tcPr>
            <w:tcW w:type="dxa" w:w="3380"/>
            <w:shd w:fill="FFFFFF" w:color="auto" w:val="clear"/>
            <w:tcMar>
              <w:top w:type="dxa" w:w="80"/>
              <w:left w:type="dxa" w:w="120"/>
              <w:bottom w:type="dxa" w:w="80"/>
              <w:right w:type="dxa" w:w="120"/>
            </w:tcMar>
            <w:vAlign w:val="center"/>
          </w:tcPr>
          <w:p>
            <w:pPr>
              <w:jc w:val="left"/>
            </w:pPr>
            <w:r>
              <w:rPr>
                <w:b w:val="false"/>
                <w:bCs w:val="false"/>
                <w:sz w:val="20"/>
                <w:szCs w:val="20"/>
              </w:rPr>
              <w:t xml:space="preserve">Rewritten to sort once and use cumulative sums to get every threshold's cost in a single vectorized pass — O(n log n). Verified to match the original's brute-force output exactly on synthetic data, then benchmarked at 50ms on 284,807 real rows (was on track to take hours). This is a textbook WARP violation the standing rule exists to catch — caught only because the code was actually run against the real, full-scale dataset rather than a small fixture.</w:t>
            </w:r>
          </w:p>
        </w:tc>
      </w:tr>
    </w:tbl>
    <w:p>
      <w:pPr>
        <w:pStyle w:val="Heading1"/>
        <w:spacing w:after="200" w:before="400"/>
      </w:pPr>
      <w:r>
        <w:t xml:space="preserve">14. Deployment &amp; Packaging</w:t>
      </w:r>
    </w:p>
    <w:p>
      <w:pPr>
        <w:pStyle w:val="ListParagraph"/>
        <w:numPr>
          <w:ilvl w:val="0"/>
          <w:numId w:val="2"/>
        </w:numPr>
        <w:spacing w:after="80"/>
      </w:pPr>
      <w:r>
        <w:t xml:space="preserve">Serialized champion model artifact + scoring pipeline, produced by Notebook 07.</w:t>
      </w:r>
    </w:p>
    <w:p>
      <w:pPr>
        <w:pStyle w:val="ListParagraph"/>
        <w:numPr>
          <w:ilvl w:val="0"/>
          <w:numId w:val="2"/>
        </w:numPr>
        <w:spacing w:after="80"/>
      </w:pPr>
      <w:r>
        <w:t xml:space="preserve">GitHub repository structure mirrors the notebook sequence in Section 5, one folder per notebook stage.</w:t>
      </w:r>
    </w:p>
    <w:p>
      <w:pPr>
        <w:pStyle w:val="ListParagraph"/>
        <w:numPr>
          <w:ilvl w:val="0"/>
          <w:numId w:val="2"/>
        </w:numPr>
        <w:spacing w:after="80"/>
      </w:pPr>
      <w:r>
        <w:t xml:space="preserve">Documentation auto-generated from docstrings/notebook metadata (HYPER technique) so the repo stays self-documenting on every push.</w:t>
      </w:r>
    </w:p>
    <w:p>
      <w:pPr>
        <w:pStyle w:val="ListParagraph"/>
        <w:numPr>
          <w:ilvl w:val="0"/>
          <w:numId w:val="2"/>
        </w:numPr>
        <w:spacing w:after="80"/>
      </w:pPr>
      <w:r>
        <w:t xml:space="preserve">Every deliverable (Model Card, financial-impact package, monitoring design doc) is version-locked to the same champion-model identifier.</w:t>
      </w:r>
    </w:p>
    <w:p>
      <w:pPr>
        <w:pStyle w:val="Heading1"/>
        <w:spacing w:after="200" w:before="400"/>
      </w:pPr>
      <w:r>
        <w:t xml:space="preserve">15. Final Verification Checklist</w:t>
      </w:r>
    </w:p>
    <w:p>
      <w:pPr>
        <w:pStyle w:val="ListParagraph"/>
        <w:numPr>
          <w:ilvl w:val="0"/>
          <w:numId w:val="2"/>
        </w:numPr>
        <w:spacing w:after="80"/>
      </w:pPr>
      <w:r>
        <w:t xml:space="preserve">All Section 2 dataset facts re-verified against your own real run, not copied from this document</w:t>
      </w:r>
    </w:p>
    <w:p>
      <w:pPr>
        <w:pStyle w:val="ListParagraph"/>
        <w:numPr>
          <w:ilvl w:val="0"/>
          <w:numId w:val="2"/>
        </w:numPr>
        <w:spacing w:after="80"/>
      </w:pPr>
      <w:r>
        <w:t xml:space="preserve">Stage A/B benchmark run as real 5-fold CV, champion selected by PR-AUC, not plain AUC</w:t>
      </w:r>
    </w:p>
    <w:p>
      <w:pPr>
        <w:pStyle w:val="ListParagraph"/>
        <w:numPr>
          <w:ilvl w:val="0"/>
          <w:numId w:val="2"/>
        </w:numPr>
        <w:spacing w:after="80"/>
      </w:pPr>
      <w:r>
        <w:t xml:space="preserve">Gate 1 + Gate 2 validation both passed, including the new Stress-Test sub-gate</w:t>
      </w:r>
    </w:p>
    <w:p>
      <w:pPr>
        <w:pStyle w:val="ListParagraph"/>
        <w:numPr>
          <w:ilvl w:val="0"/>
          <w:numId w:val="2"/>
        </w:numPr>
        <w:spacing w:after="80"/>
      </w:pPr>
      <w:r>
        <w:t xml:space="preserve">Fairness limitation explicitly disclosed in Notebook 05, Model Card, and the Word report — never silently omitted</w:t>
      </w:r>
    </w:p>
    <w:p>
      <w:pPr>
        <w:pStyle w:val="ListParagraph"/>
        <w:numPr>
          <w:ilvl w:val="0"/>
          <w:numId w:val="2"/>
        </w:numPr>
        <w:spacing w:after="80"/>
      </w:pPr>
      <w:r>
        <w:t xml:space="preserve">Monitoring thresholds documented per Section 9's Tier 1 table</w:t>
      </w:r>
    </w:p>
    <w:p>
      <w:pPr>
        <w:pStyle w:val="ListParagraph"/>
        <w:numPr>
          <w:ilvl w:val="0"/>
          <w:numId w:val="2"/>
        </w:numPr>
        <w:spacing w:after="80"/>
      </w:pPr>
      <w:r>
        <w:t xml:space="preserve">Financial-impact package passes the full compile → fixture → idempotency → recalc → visual-render sequence</w:t>
      </w:r>
    </w:p>
    <w:p>
      <w:pPr>
        <w:pStyle w:val="ListParagraph"/>
        <w:numPr>
          <w:ilvl w:val="0"/>
          <w:numId w:val="2"/>
        </w:numPr>
        <w:spacing w:after="80"/>
      </w:pPr>
      <w:r>
        <w:t xml:space="preserve">Model Card and serving-latency measurement completed from the real champion model</w:t>
      </w:r>
    </w:p>
    <w:p>
      <w:pPr>
        <w:pStyle w:val="ListParagraph"/>
        <w:numPr>
          <w:ilvl w:val="0"/>
          <w:numId w:val="2"/>
        </w:numPr>
        <w:spacing w:after="80"/>
      </w:pPr>
      <w:r>
        <w:t xml:space="preserve">Every dollar figure expressed with its billions/millions shorthand where applicable, per your standing formatting preference</w:t>
      </w:r>
    </w:p>
    <w:p>
      <w:pPr>
        <w:pStyle w:val="Heading1"/>
        <w:spacing w:after="200" w:before="400"/>
      </w:pPr>
      <w:r>
        <w:t xml:space="preserve">16. GitHub, Kaggle &amp; LinkedIn Distribution Plan</w:t>
      </w:r>
    </w:p>
    <w:p>
      <w:pPr>
        <w:spacing w:after="160"/>
      </w:pPr>
      <w:r>
        <w:t xml:space="preserve">This is the standing three-channel distribution pattern already used for AMEX and Home Credit, applied here to Project 1. Each channel has a different job and a different honesty constraint — they are not interchangeable copies of the same content.</w:t>
      </w:r>
    </w:p>
    <w:p>
      <w:pPr>
        <w:pStyle w:val="Heading2"/>
        <w:spacing w:after="150" w:before="300"/>
      </w:pPr>
      <w:r>
        <w:t xml:space="preserve">16.1 GitHub — code and reproducibility</w:t>
      </w:r>
    </w:p>
    <w:p>
      <w:pPr>
        <w:pStyle w:val="ListParagraph"/>
        <w:numPr>
          <w:ilvl w:val="0"/>
          <w:numId w:val="2"/>
        </w:numPr>
        <w:spacing w:after="80"/>
      </w:pPr>
      <w:r>
        <w:t xml:space="preserve">Repository: a new public repo under github.com/rnanda19 (e.g., Fraud-Detection-Platform), structured with one folder per notebook stage from Section 5, mirroring the AMEX_RiskIQ_Enterprise_Credit_Risk_Platform pattern.</w:t>
      </w:r>
    </w:p>
    <w:p>
      <w:pPr>
        <w:pStyle w:val="ListParagraph"/>
        <w:numPr>
          <w:ilvl w:val="0"/>
          <w:numId w:val="2"/>
        </w:numPr>
        <w:spacing w:after="80"/>
      </w:pPr>
      <w:r>
        <w:t xml:space="preserve">Push workaround (standing, unchanged): Claude has no GitHub write access and cannot authenticate or push. Claude prepares the updated files locally and provides the exact git commands; you execute every push yourself.</w:t>
      </w:r>
    </w:p>
    <w:p>
      <w:pPr>
        <w:pStyle w:val="ListParagraph"/>
        <w:numPr>
          <w:ilvl w:val="0"/>
          <w:numId w:val="2"/>
        </w:numPr>
        <w:spacing w:after="80"/>
      </w:pPr>
      <w:r>
        <w:t xml:space="preserve">README auto-generated from notebook docstrings/metadata (HYPER technique), linking directly to the Model Card (Section 11) and the financial-impact package (Section 10).</w:t>
      </w:r>
    </w:p>
    <w:p>
      <w:pPr>
        <w:pStyle w:val="ListParagraph"/>
        <w:numPr>
          <w:ilvl w:val="0"/>
          <w:numId w:val="2"/>
        </w:numPr>
        <w:spacing w:after="80"/>
      </w:pPr>
      <w:r>
        <w:t xml:space="preserve">This is the audit-trail channel: it must contain the real notebooks, the real requirements.txt/environment file, and no inflated claims — GitHub is where a hiring manager or model-risk reviewer verifies the work is real.</w:t>
      </w:r>
    </w:p>
    <w:p>
      <w:pPr>
        <w:pStyle w:val="Heading2"/>
        <w:spacing w:after="150" w:before="300"/>
      </w:pPr>
      <w:r>
        <w:t xml:space="preserve">16.2 Kaggle — public notebook portfolio entry</w:t>
      </w:r>
    </w:p>
    <w:p>
      <w:pPr>
        <w:pStyle w:val="ListParagraph"/>
        <w:numPr>
          <w:ilvl w:val="0"/>
          <w:numId w:val="2"/>
        </w:numPr>
        <w:spacing w:after="80"/>
      </w:pPr>
      <w:r>
        <w:t xml:space="preserve">Published as a new, standalone Kaggle notebook/dataset entry, titled honestly, e.g. “Fraud Detection — Real-Time Transaction Risk Scoring (Public Portfolio)” — never reusing the Home Credit portfolio's title or numbering.</w:t>
      </w:r>
    </w:p>
    <w:p>
      <w:pPr>
        <w:pStyle w:val="ListParagraph"/>
        <w:numPr>
          <w:ilvl w:val="0"/>
          <w:numId w:val="2"/>
        </w:numPr>
        <w:spacing w:after="80"/>
      </w:pPr>
      <w:r>
        <w:t xml:space="preserve">Labeling rule carried forward unchanged from the Home Credit Kaggle portfolio: label this as “Public Fraud Analytics Portfolio (Kaggle)” — distinct from any academic capstone and from paid/production work — so the framing is never mistaken for verified enterprise deployment.</w:t>
      </w:r>
    </w:p>
    <w:p>
      <w:pPr>
        <w:pStyle w:val="ListParagraph"/>
        <w:numPr>
          <w:ilvl w:val="0"/>
          <w:numId w:val="2"/>
        </w:numPr>
        <w:spacing w:after="80"/>
      </w:pPr>
      <w:r>
        <w:t xml:space="preserve">Business-impact figures on Kaggle (e.g., estimated annual fraud-loss reduction) must be explicitly framed as “expected value estimate based on modeling assumptions,” never presented as a measured real-world outcome — this is the same rule that keeps the Home Credit portfolio's $15M–$25M framing defensible.</w:t>
      </w:r>
    </w:p>
    <w:p>
      <w:pPr>
        <w:pStyle w:val="ListParagraph"/>
        <w:numPr>
          <w:ilvl w:val="0"/>
          <w:numId w:val="2"/>
        </w:numPr>
        <w:spacing w:after="80"/>
      </w:pPr>
      <w:r>
        <w:t xml:space="preserve">Do not surface unverified aggregate claims (institution-wide dollar totals, uptime/SLA numbers not actually measured, compliance claims like “audit completed”) — this was flagged as a standing risk on the existing Kaggle portfolio and applies identically here.</w:t>
      </w:r>
    </w:p>
    <w:p>
      <w:pPr>
        <w:pStyle w:val="ListParagraph"/>
        <w:numPr>
          <w:ilvl w:val="0"/>
          <w:numId w:val="2"/>
        </w:numPr>
        <w:spacing w:after="80"/>
      </w:pPr>
      <w:r>
        <w:t xml:space="preserve">SHAP/LIME visuals, the confusion matrix, and the real PR-AUC number are the centerpiece — Kaggle rewards a genuinely inspectable, reproducible notebook over a polished narrative.</w:t>
      </w:r>
    </w:p>
    <w:p>
      <w:pPr>
        <w:pStyle w:val="Heading2"/>
        <w:spacing w:after="150" w:before="300"/>
      </w:pPr>
      <w:r>
        <w:t xml:space="preserve">16.3 LinkedIn — professional visibility</w:t>
      </w:r>
    </w:p>
    <w:p>
      <w:pPr>
        <w:pStyle w:val="ListParagraph"/>
        <w:numPr>
          <w:ilvl w:val="0"/>
          <w:numId w:val="2"/>
        </w:numPr>
        <w:spacing w:after="80"/>
      </w:pPr>
      <w:r>
        <w:t xml:space="preserve">Shared from linkedin.com/in/nandagopalr1976 as a short post plus a link to the GitHub repo and/or the HTML dashboard from Section 10 — LinkedIn is for visibility and narrative, not for hosting the underlying files.</w:t>
      </w:r>
    </w:p>
    <w:p>
      <w:pPr>
        <w:pStyle w:val="ListParagraph"/>
        <w:numPr>
          <w:ilvl w:val="0"/>
          <w:numId w:val="2"/>
        </w:numPr>
        <w:spacing w:after="80"/>
      </w:pPr>
      <w:r>
        <w:t xml:space="preserve">Post framing states only what Sections 2–15 actually verified: the real dataset scale, the real champion model and its real PR-AUC, and the fairness-testing limitation from Section 8 stated as openly as the strengths — a disclosed limitation reads as rigor, not weakness, to a model-risk-literate audience.</w:t>
      </w:r>
    </w:p>
    <w:p>
      <w:pPr>
        <w:pStyle w:val="ListParagraph"/>
        <w:numPr>
          <w:ilvl w:val="0"/>
          <w:numId w:val="2"/>
        </w:numPr>
        <w:spacing w:after="80"/>
      </w:pPr>
      <w:r>
        <w:t xml:space="preserve">No dollar-impact claim goes on LinkedIn that isn't already qualified the same way it is on Kaggle (Section 16.2) — one consistent, honest number across all three channels, not a bigger one for the more public audience.</w:t>
      </w:r>
    </w:p>
    <w:p>
      <w:pPr>
        <w:pStyle w:val="Heading2"/>
        <w:spacing w:after="150" w:before="300"/>
      </w:pPr>
      <w:r>
        <w:t xml:space="preserve">16.4 What ties the three channels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cantSplit/>
          <w:tblHeader/>
        </w:trPr>
        <w:tc>
          <w:tcPr>
            <w:tcW w:type="dxa" w:w="2400"/>
            <w:shd w:fill="1F3864" w:color="auto" w:val="clear"/>
            <w:tcMar>
              <w:top w:type="dxa" w:w="80"/>
              <w:left w:type="dxa" w:w="120"/>
              <w:bottom w:type="dxa" w:w="80"/>
              <w:right w:type="dxa" w:w="120"/>
            </w:tcMar>
            <w:vAlign w:val="center"/>
          </w:tcPr>
          <w:p>
            <w:pPr>
              <w:jc w:val="left"/>
            </w:pPr>
            <w:r>
              <w:rPr>
                <w:b/>
                <w:bCs/>
                <w:color w:val="FFFFFF"/>
                <w:sz w:val="20"/>
                <w:szCs w:val="20"/>
              </w:rPr>
              <w:t xml:space="preserve">Channel</w:t>
            </w:r>
          </w:p>
        </w:tc>
        <w:tc>
          <w:tcPr>
            <w:tcW w:type="dxa" w:w="2320"/>
            <w:shd w:fill="1F3864" w:color="auto"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320"/>
            <w:shd w:fill="1F3864" w:color="auto" w:val="clear"/>
            <w:tcMar>
              <w:top w:type="dxa" w:w="80"/>
              <w:left w:type="dxa" w:w="120"/>
              <w:bottom w:type="dxa" w:w="80"/>
              <w:right w:type="dxa" w:w="120"/>
            </w:tcMar>
            <w:vAlign w:val="center"/>
          </w:tcPr>
          <w:p>
            <w:pPr>
              <w:jc w:val="left"/>
            </w:pPr>
            <w:r>
              <w:rPr>
                <w:b/>
                <w:bCs/>
                <w:color w:val="FFFFFF"/>
                <w:sz w:val="20"/>
                <w:szCs w:val="20"/>
              </w:rPr>
              <w:t xml:space="preserve">Audience</w:t>
            </w:r>
          </w:p>
        </w:tc>
        <w:tc>
          <w:tcPr>
            <w:tcW w:type="dxa" w:w="2320"/>
            <w:shd w:fill="1F3864" w:color="auto" w:val="clear"/>
            <w:tcMar>
              <w:top w:type="dxa" w:w="80"/>
              <w:left w:type="dxa" w:w="120"/>
              <w:bottom w:type="dxa" w:w="80"/>
              <w:right w:type="dxa" w:w="120"/>
            </w:tcMar>
            <w:vAlign w:val="center"/>
          </w:tcPr>
          <w:p>
            <w:pPr>
              <w:jc w:val="left"/>
            </w:pPr>
            <w:r>
              <w:rPr>
                <w:b/>
                <w:bCs/>
                <w:color w:val="FFFFFF"/>
                <w:sz w:val="20"/>
                <w:szCs w:val="20"/>
              </w:rPr>
              <w:t xml:space="preserve">Content Source</w:t>
            </w:r>
          </w:p>
        </w:tc>
      </w:tr>
      <w:tr>
        <w:trPr>
          <w:cantSplit/>
        </w:trPr>
        <w:tc>
          <w:tcPr>
            <w:tcW w:type="dxa" w:w="2400"/>
            <w:shd w:fill="F2F2F2" w:color="auto" w:val="clear"/>
            <w:tcMar>
              <w:top w:type="dxa" w:w="80"/>
              <w:left w:type="dxa" w:w="120"/>
              <w:bottom w:type="dxa" w:w="80"/>
              <w:right w:type="dxa" w:w="120"/>
            </w:tcMar>
            <w:vAlign w:val="center"/>
          </w:tcPr>
          <w:p>
            <w:pPr>
              <w:jc w:val="left"/>
            </w:pPr>
            <w:r>
              <w:rPr>
                <w:b w:val="false"/>
                <w:bCs w:val="false"/>
                <w:sz w:val="20"/>
                <w:szCs w:val="20"/>
              </w:rPr>
              <w:t xml:space="preserve">GitHub</w:t>
            </w:r>
          </w:p>
        </w:tc>
        <w:tc>
          <w:tcPr>
            <w:tcW w:type="dxa" w:w="2320"/>
            <w:shd w:fill="F2F2F2" w:color="auto" w:val="clear"/>
            <w:tcMar>
              <w:top w:type="dxa" w:w="80"/>
              <w:left w:type="dxa" w:w="120"/>
              <w:bottom w:type="dxa" w:w="80"/>
              <w:right w:type="dxa" w:w="120"/>
            </w:tcMar>
            <w:vAlign w:val="center"/>
          </w:tcPr>
          <w:p>
            <w:pPr>
              <w:jc w:val="left"/>
            </w:pPr>
            <w:r>
              <w:rPr>
                <w:b w:val="false"/>
                <w:bCs w:val="false"/>
                <w:sz w:val="20"/>
                <w:szCs w:val="20"/>
              </w:rPr>
              <w:t xml:space="preserve">Reproducibility &amp; audit trail</w:t>
            </w:r>
          </w:p>
        </w:tc>
        <w:tc>
          <w:tcPr>
            <w:tcW w:type="dxa" w:w="2320"/>
            <w:shd w:fill="F2F2F2" w:color="auto" w:val="clear"/>
            <w:tcMar>
              <w:top w:type="dxa" w:w="80"/>
              <w:left w:type="dxa" w:w="120"/>
              <w:bottom w:type="dxa" w:w="80"/>
              <w:right w:type="dxa" w:w="120"/>
            </w:tcMar>
            <w:vAlign w:val="center"/>
          </w:tcPr>
          <w:p>
            <w:pPr>
              <w:jc w:val="left"/>
            </w:pPr>
            <w:r>
              <w:rPr>
                <w:b w:val="false"/>
                <w:bCs w:val="false"/>
                <w:sz w:val="20"/>
                <w:szCs w:val="20"/>
              </w:rPr>
              <w:t xml:space="preserve">Technical reviewers, model-risk interviewers</w:t>
            </w:r>
          </w:p>
        </w:tc>
        <w:tc>
          <w:tcPr>
            <w:tcW w:type="dxa" w:w="2320"/>
            <w:shd w:fill="F2F2F2" w:color="auto" w:val="clear"/>
            <w:tcMar>
              <w:top w:type="dxa" w:w="80"/>
              <w:left w:type="dxa" w:w="120"/>
              <w:bottom w:type="dxa" w:w="80"/>
              <w:right w:type="dxa" w:w="120"/>
            </w:tcMar>
            <w:vAlign w:val="center"/>
          </w:tcPr>
          <w:p>
            <w:pPr>
              <w:jc w:val="left"/>
            </w:pPr>
            <w:r>
              <w:rPr>
                <w:b w:val="false"/>
                <w:bCs w:val="false"/>
                <w:sz w:val="20"/>
                <w:szCs w:val="20"/>
              </w:rPr>
              <w:t xml:space="preserve">Real notebooks (Sections 5–7), Model Card (11)</w:t>
            </w:r>
          </w:p>
        </w:tc>
      </w:tr>
      <w:tr>
        <w:trPr>
          <w:cantSplit/>
        </w:trPr>
        <w:tc>
          <w:tcPr>
            <w:tcW w:type="dxa" w:w="2400"/>
            <w:shd w:fill="FFFFFF" w:color="auto" w:val="clear"/>
            <w:tcMar>
              <w:top w:type="dxa" w:w="80"/>
              <w:left w:type="dxa" w:w="120"/>
              <w:bottom w:type="dxa" w:w="80"/>
              <w:right w:type="dxa" w:w="120"/>
            </w:tcMar>
            <w:vAlign w:val="center"/>
          </w:tcPr>
          <w:p>
            <w:pPr>
              <w:jc w:val="left"/>
            </w:pPr>
            <w:r>
              <w:rPr>
                <w:b w:val="false"/>
                <w:bCs w:val="false"/>
                <w:sz w:val="20"/>
                <w:szCs w:val="20"/>
              </w:rPr>
              <w:t xml:space="preserve">Kaggle</w:t>
            </w:r>
          </w:p>
        </w:tc>
        <w:tc>
          <w:tcPr>
            <w:tcW w:type="dxa" w:w="2320"/>
            <w:shd w:fill="FFFFFF" w:color="auto" w:val="clear"/>
            <w:tcMar>
              <w:top w:type="dxa" w:w="80"/>
              <w:left w:type="dxa" w:w="120"/>
              <w:bottom w:type="dxa" w:w="80"/>
              <w:right w:type="dxa" w:w="120"/>
            </w:tcMar>
            <w:vAlign w:val="center"/>
          </w:tcPr>
          <w:p>
            <w:pPr>
              <w:jc w:val="left"/>
            </w:pPr>
            <w:r>
              <w:rPr>
                <w:b w:val="false"/>
                <w:bCs w:val="false"/>
                <w:sz w:val="20"/>
                <w:szCs w:val="20"/>
              </w:rPr>
              <w:t xml:space="preserve">Public portfolio entry, discoverability</w:t>
            </w:r>
          </w:p>
        </w:tc>
        <w:tc>
          <w:tcPr>
            <w:tcW w:type="dxa" w:w="2320"/>
            <w:shd w:fill="FFFFFF" w:color="auto" w:val="clear"/>
            <w:tcMar>
              <w:top w:type="dxa" w:w="80"/>
              <w:left w:type="dxa" w:w="120"/>
              <w:bottom w:type="dxa" w:w="80"/>
              <w:right w:type="dxa" w:w="120"/>
            </w:tcMar>
            <w:vAlign w:val="center"/>
          </w:tcPr>
          <w:p>
            <w:pPr>
              <w:jc w:val="left"/>
            </w:pPr>
            <w:r>
              <w:rPr>
                <w:b w:val="false"/>
                <w:bCs w:val="false"/>
                <w:sz w:val="20"/>
                <w:szCs w:val="20"/>
              </w:rPr>
              <w:t xml:space="preserve">Data science community, recruiters screening Kaggle</w:t>
            </w:r>
          </w:p>
        </w:tc>
        <w:tc>
          <w:tcPr>
            <w:tcW w:type="dxa" w:w="2320"/>
            <w:shd w:fill="FFFFFF" w:color="auto" w:val="clear"/>
            <w:tcMar>
              <w:top w:type="dxa" w:w="80"/>
              <w:left w:type="dxa" w:w="120"/>
              <w:bottom w:type="dxa" w:w="80"/>
              <w:right w:type="dxa" w:w="120"/>
            </w:tcMar>
            <w:vAlign w:val="center"/>
          </w:tcPr>
          <w:p>
            <w:pPr>
              <w:jc w:val="left"/>
            </w:pPr>
            <w:r>
              <w:rPr>
                <w:b w:val="false"/>
                <w:bCs w:val="false"/>
                <w:sz w:val="20"/>
                <w:szCs w:val="20"/>
              </w:rPr>
              <w:t xml:space="preserve">Champion model notebook, real metrics (Section 6), labeled estimates only</w:t>
            </w:r>
          </w:p>
        </w:tc>
      </w:tr>
      <w:tr>
        <w:trPr>
          <w:cantSplit/>
        </w:trPr>
        <w:tc>
          <w:tcPr>
            <w:tcW w:type="dxa" w:w="2400"/>
            <w:shd w:fill="F2F2F2" w:color="auto" w:val="clear"/>
            <w:tcMar>
              <w:top w:type="dxa" w:w="80"/>
              <w:left w:type="dxa" w:w="120"/>
              <w:bottom w:type="dxa" w:w="80"/>
              <w:right w:type="dxa" w:w="120"/>
            </w:tcMar>
            <w:vAlign w:val="center"/>
          </w:tcPr>
          <w:p>
            <w:pPr>
              <w:jc w:val="left"/>
            </w:pPr>
            <w:r>
              <w:rPr>
                <w:b w:val="false"/>
                <w:bCs w:val="false"/>
                <w:sz w:val="20"/>
                <w:szCs w:val="20"/>
              </w:rPr>
              <w:t xml:space="preserve">LinkedIn</w:t>
            </w:r>
          </w:p>
        </w:tc>
        <w:tc>
          <w:tcPr>
            <w:tcW w:type="dxa" w:w="2320"/>
            <w:shd w:fill="F2F2F2" w:color="auto" w:val="clear"/>
            <w:tcMar>
              <w:top w:type="dxa" w:w="80"/>
              <w:left w:type="dxa" w:w="120"/>
              <w:bottom w:type="dxa" w:w="80"/>
              <w:right w:type="dxa" w:w="120"/>
            </w:tcMar>
            <w:vAlign w:val="center"/>
          </w:tcPr>
          <w:p>
            <w:pPr>
              <w:jc w:val="left"/>
            </w:pPr>
            <w:r>
              <w:rPr>
                <w:b w:val="false"/>
                <w:bCs w:val="false"/>
                <w:sz w:val="20"/>
                <w:szCs w:val="20"/>
              </w:rPr>
              <w:t xml:space="preserve">Professional visibility &amp; narrative</w:t>
            </w:r>
          </w:p>
        </w:tc>
        <w:tc>
          <w:tcPr>
            <w:tcW w:type="dxa" w:w="2320"/>
            <w:shd w:fill="F2F2F2" w:color="auto" w:val="clear"/>
            <w:tcMar>
              <w:top w:type="dxa" w:w="80"/>
              <w:left w:type="dxa" w:w="120"/>
              <w:bottom w:type="dxa" w:w="80"/>
              <w:right w:type="dxa" w:w="120"/>
            </w:tcMar>
            <w:vAlign w:val="center"/>
          </w:tcPr>
          <w:p>
            <w:pPr>
              <w:jc w:val="left"/>
            </w:pPr>
            <w:r>
              <w:rPr>
                <w:b w:val="false"/>
                <w:bCs w:val="false"/>
                <w:sz w:val="20"/>
                <w:szCs w:val="20"/>
              </w:rPr>
              <w:t xml:space="preserve">Recruiters, hiring managers, network</w:t>
            </w:r>
          </w:p>
        </w:tc>
        <w:tc>
          <w:tcPr>
            <w:tcW w:type="dxa" w:w="2320"/>
            <w:shd w:fill="F2F2F2" w:color="auto" w:val="clear"/>
            <w:tcMar>
              <w:top w:type="dxa" w:w="80"/>
              <w:left w:type="dxa" w:w="120"/>
              <w:bottom w:type="dxa" w:w="80"/>
              <w:right w:type="dxa" w:w="120"/>
            </w:tcMar>
            <w:vAlign w:val="center"/>
          </w:tcPr>
          <w:p>
            <w:pPr>
              <w:jc w:val="left"/>
            </w:pPr>
            <w:r>
              <w:rPr>
                <w:b w:val="false"/>
                <w:bCs w:val="false"/>
                <w:sz w:val="20"/>
                <w:szCs w:val="20"/>
              </w:rPr>
              <w:t xml:space="preserve">Summary post linking to GitHub/HTML dashboard, same qualified numbers as Kaggle</w:t>
            </w:r>
          </w:p>
        </w:tc>
      </w:tr>
    </w:tbl>
    <w:p>
      <w:pPr>
        <w:spacing w:after="160"/>
      </w:pPr>
      <w:r>
        <w:rPr>
          <w:i/>
          <w:iCs/>
        </w:rPr>
        <w:t xml:space="preserve">Every one of these three channels must trace back to the same real, verified numbers from Sections 2, 6, and 10 of this playbook — no channel gets a more favorable rounding, a bigger estimate, or a dropped caveat than another.</w:t>
      </w:r>
    </w:p>
    <w:p>
      <w:pPr>
        <w:pStyle w:val="Heading1"/>
        <w:spacing w:after="200" w:before="400"/>
      </w:pPr>
      <w:r>
        <w:t xml:space="preserve">17. Scalability, Reusability, Durability &amp; Continuous-Improvement Readiness</w:t>
      </w:r>
    </w:p>
    <w:p>
      <w:pPr>
        <w:spacing w:after="160"/>
      </w:pPr>
      <w:r>
        <w:t xml:space="preserve">This section exists because those five qualities are not automatic side effects of good modeling — each one needs its own explicit design decision. What follows is that decision for each.</w:t>
      </w:r>
    </w:p>
    <w:p>
      <w:pPr>
        <w:pStyle w:val="Heading2"/>
        <w:spacing w:after="150" w:before="300"/>
      </w:pPr>
      <w:r>
        <w:t xml:space="preserve">17.1 Scalable</w:t>
      </w:r>
    </w:p>
    <w:p>
      <w:pPr>
        <w:pStyle w:val="ListParagraph"/>
        <w:numPr>
          <w:ilvl w:val="0"/>
          <w:numId w:val="2"/>
        </w:numPr>
        <w:spacing w:after="80"/>
      </w:pPr>
      <w:r>
        <w:t xml:space="preserve">Documented capacity ceiling, not an assumed one: before this project is called production-ready, a real test synthetically replicates the 284,807-row dataset N× (e.g., 5×, 20×, 100×) and times the Notebook 01–03 pipeline under the existing WARP 92% CPU/RAM cap — the row count where that cap is actually hit becomes the stated single-node ceiling, measured on your machine, not guessed.</w:t>
      </w:r>
    </w:p>
    <w:p>
      <w:pPr>
        <w:pStyle w:val="ListParagraph"/>
        <w:numPr>
          <w:ilvl w:val="0"/>
          <w:numId w:val="2"/>
        </w:numPr>
        <w:spacing w:after="80"/>
      </w:pPr>
      <w:r>
        <w:t xml:space="preserve">Documented (not yet adopted) scale-up path: when real transaction volume would exceed that measured ceiling, the pandas layer is replaced with Polars (lazy execution, multi-threaded joins) or a distributed engine (Dask/Spark) — adopted only after the same real-benchmark-before-adopting rule already agreed for Polars: no tool change without a measured number justifying it.</w:t>
      </w:r>
    </w:p>
    <w:p>
      <w:pPr>
        <w:pStyle w:val="ListParagraph"/>
        <w:numPr>
          <w:ilvl w:val="0"/>
          <w:numId w:val="2"/>
        </w:numPr>
        <w:spacing w:after="80"/>
      </w:pPr>
      <w:r>
        <w:t xml:space="preserve">Serving-side scaling: the scoring service design in Section 12 is stateless (the model artifact is read-only per instance), so horizontal scaling — running multiple identical instances behind a load balancer — requires no architecture change, only more instances.</w:t>
      </w:r>
    </w:p>
    <w:p>
      <w:pPr>
        <w:pStyle w:val="Heading2"/>
        <w:spacing w:after="150" w:before="300"/>
      </w:pPr>
      <w:r>
        <w:t xml:space="preserve">17.2 Reusable</w:t>
      </w:r>
    </w:p>
    <w:p>
      <w:pPr>
        <w:spacing w:after="160"/>
      </w:pPr>
      <w:r>
        <w:t xml:space="preserve">HYPER's “shared component library” principle is made concrete here as a named inventory, so Commercial Credit and any future project (AML, Market Risk) import these instead of rebuilding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1F3864" w:color="auto"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6560"/>
            <w:shd w:fill="1F3864" w:color="auto" w:val="clear"/>
            <w:tcMar>
              <w:top w:type="dxa" w:w="80"/>
              <w:left w:type="dxa" w:w="120"/>
              <w:bottom w:type="dxa" w:w="80"/>
              <w:right w:type="dxa" w:w="120"/>
            </w:tcMar>
            <w:vAlign w:val="center"/>
          </w:tcPr>
          <w:p>
            <w:pPr>
              <w:jc w:val="left"/>
            </w:pPr>
            <w:r>
              <w:rPr>
                <w:b/>
                <w:bCs/>
                <w:color w:val="FFFFFF"/>
                <w:sz w:val="20"/>
                <w:szCs w:val="20"/>
              </w:rPr>
              <w:t xml:space="preserve">What It Factors Out</w:t>
            </w:r>
          </w:p>
        </w:tc>
      </w:tr>
      <w:tr>
        <w:trPr>
          <w:cantSplit/>
        </w:trPr>
        <w:tc>
          <w:tcPr>
            <w:tcW w:type="dxa" w:w="2800"/>
            <w:shd w:fill="F2F2F2" w:color="auto" w:val="clear"/>
            <w:tcMar>
              <w:top w:type="dxa" w:w="80"/>
              <w:left w:type="dxa" w:w="120"/>
              <w:bottom w:type="dxa" w:w="80"/>
              <w:right w:type="dxa" w:w="120"/>
            </w:tcMar>
            <w:vAlign w:val="center"/>
          </w:tcPr>
          <w:p>
            <w:pPr>
              <w:jc w:val="left"/>
            </w:pPr>
            <w:r>
              <w:rPr>
                <w:b w:val="false"/>
                <w:bCs w:val="false"/>
                <w:sz w:val="20"/>
                <w:szCs w:val="20"/>
              </w:rPr>
              <w:t xml:space="preserve">two_gate_validation.py</w:t>
            </w:r>
          </w:p>
        </w:tc>
        <w:tc>
          <w:tcPr>
            <w:tcW w:type="dxa" w:w="6560"/>
            <w:shd w:fill="F2F2F2" w:color="auto" w:val="clear"/>
            <w:tcMar>
              <w:top w:type="dxa" w:w="80"/>
              <w:left w:type="dxa" w:w="120"/>
              <w:bottom w:type="dxa" w:w="80"/>
              <w:right w:type="dxa" w:w="120"/>
            </w:tcMar>
            <w:vAlign w:val="center"/>
          </w:tcPr>
          <w:p>
            <w:pPr>
              <w:jc w:val="left"/>
            </w:pPr>
            <w:r>
              <w:rPr>
                <w:b w:val="false"/>
                <w:bCs w:val="false"/>
                <w:sz w:val="20"/>
                <w:szCs w:val="20"/>
              </w:rPr>
              <w:t xml:space="preserve">Gate 1 structural checks + Gate 2 statistical/scenario/concentration checks (Section 7) — identical logic, different data in every future project</w:t>
            </w:r>
          </w:p>
        </w:tc>
      </w:tr>
      <w:tr>
        <w:trPr>
          <w:cantSplit/>
        </w:trPr>
        <w:tc>
          <w:tcPr>
            <w:tcW w:type="dxa" w:w="2800"/>
            <w:shd w:fill="FFFFFF" w:color="auto" w:val="clear"/>
            <w:tcMar>
              <w:top w:type="dxa" w:w="80"/>
              <w:left w:type="dxa" w:w="120"/>
              <w:bottom w:type="dxa" w:w="80"/>
              <w:right w:type="dxa" w:w="120"/>
            </w:tcMar>
            <w:vAlign w:val="center"/>
          </w:tcPr>
          <w:p>
            <w:pPr>
              <w:jc w:val="left"/>
            </w:pPr>
            <w:r>
              <w:rPr>
                <w:b w:val="false"/>
                <w:bCs w:val="false"/>
                <w:sz w:val="20"/>
                <w:szCs w:val="20"/>
              </w:rPr>
              <w:t xml:space="preserve">drift_monitoring.py</w:t>
            </w:r>
          </w:p>
        </w:tc>
        <w:tc>
          <w:tcPr>
            <w:tcW w:type="dxa" w:w="6560"/>
            <w:shd w:fill="FFFFFF" w:color="auto" w:val="clear"/>
            <w:tcMar>
              <w:top w:type="dxa" w:w="80"/>
              <w:left w:type="dxa" w:w="120"/>
              <w:bottom w:type="dxa" w:w="80"/>
              <w:right w:type="dxa" w:w="120"/>
            </w:tcMar>
            <w:vAlign w:val="center"/>
          </w:tcPr>
          <w:p>
            <w:pPr>
              <w:jc w:val="left"/>
            </w:pPr>
            <w:r>
              <w:rPr>
                <w:b w:val="false"/>
                <w:bCs w:val="false"/>
                <w:sz w:val="20"/>
                <w:szCs w:val="20"/>
              </w:rPr>
              <w:t xml:space="preserve">PSI/CSI/KS drift computation and tier-based alert thresholds (Section 9)</w:t>
            </w:r>
          </w:p>
        </w:tc>
      </w:tr>
      <w:tr>
        <w:trPr>
          <w:cantSplit/>
        </w:trPr>
        <w:tc>
          <w:tcPr>
            <w:tcW w:type="dxa" w:w="2800"/>
            <w:shd w:fill="F2F2F2" w:color="auto" w:val="clear"/>
            <w:tcMar>
              <w:top w:type="dxa" w:w="80"/>
              <w:left w:type="dxa" w:w="120"/>
              <w:bottom w:type="dxa" w:w="80"/>
              <w:right w:type="dxa" w:w="120"/>
            </w:tcMar>
            <w:vAlign w:val="center"/>
          </w:tcPr>
          <w:p>
            <w:pPr>
              <w:jc w:val="left"/>
            </w:pPr>
            <w:r>
              <w:rPr>
                <w:b w:val="false"/>
                <w:bCs w:val="false"/>
                <w:sz w:val="20"/>
                <w:szCs w:val="20"/>
              </w:rPr>
              <w:t xml:space="preserve">financial_impact_report_builder.py</w:t>
            </w:r>
          </w:p>
        </w:tc>
        <w:tc>
          <w:tcPr>
            <w:tcW w:type="dxa" w:w="6560"/>
            <w:shd w:fill="F2F2F2" w:color="auto" w:val="clear"/>
            <w:tcMar>
              <w:top w:type="dxa" w:w="80"/>
              <w:left w:type="dxa" w:w="120"/>
              <w:bottom w:type="dxa" w:w="80"/>
              <w:right w:type="dxa" w:w="120"/>
            </w:tcMar>
            <w:vAlign w:val="center"/>
          </w:tcPr>
          <w:p>
            <w:pPr>
              <w:jc w:val="left"/>
            </w:pPr>
            <w:r>
              <w:rPr>
                <w:b w:val="false"/>
                <w:bCs w:val="false"/>
                <w:sz w:val="20"/>
                <w:szCs w:val="20"/>
              </w:rPr>
              <w:t xml:space="preserve">The Word/Excel/HTML generator and its verification sequence (Section 10) — built once, parameterized per project</w:t>
            </w:r>
          </w:p>
        </w:tc>
      </w:tr>
      <w:tr>
        <w:trPr>
          <w:cantSplit/>
        </w:trPr>
        <w:tc>
          <w:tcPr>
            <w:tcW w:type="dxa" w:w="2800"/>
            <w:shd w:fill="FFFFFF" w:color="auto" w:val="clear"/>
            <w:tcMar>
              <w:top w:type="dxa" w:w="80"/>
              <w:left w:type="dxa" w:w="120"/>
              <w:bottom w:type="dxa" w:w="80"/>
              <w:right w:type="dxa" w:w="120"/>
            </w:tcMar>
            <w:vAlign w:val="center"/>
          </w:tcPr>
          <w:p>
            <w:pPr>
              <w:jc w:val="left"/>
            </w:pPr>
            <w:r>
              <w:rPr>
                <w:b w:val="false"/>
                <w:bCs w:val="false"/>
                <w:sz w:val="20"/>
                <w:szCs w:val="20"/>
              </w:rPr>
              <w:t xml:space="preserve">class_imbalance_utils.py</w:t>
            </w:r>
          </w:p>
        </w:tc>
        <w:tc>
          <w:tcPr>
            <w:tcW w:type="dxa" w:w="6560"/>
            <w:shd w:fill="FFFFFF" w:color="auto" w:val="clear"/>
            <w:tcMar>
              <w:top w:type="dxa" w:w="80"/>
              <w:left w:type="dxa" w:w="120"/>
              <w:bottom w:type="dxa" w:w="80"/>
              <w:right w:type="dxa" w:w="120"/>
            </w:tcMar>
            <w:vAlign w:val="center"/>
          </w:tcPr>
          <w:p>
            <w:pPr>
              <w:jc w:val="left"/>
            </w:pPr>
            <w:r>
              <w:rPr>
                <w:b w:val="false"/>
                <w:bCs w:val="false"/>
                <w:sz w:val="20"/>
                <w:szCs w:val="20"/>
              </w:rPr>
              <w:t xml:space="preserve">The class-weighting / threshold-moving / resampling comparison (Section 6)</w:t>
            </w:r>
          </w:p>
        </w:tc>
      </w:tr>
      <w:tr>
        <w:trPr>
          <w:cantSplit/>
        </w:trPr>
        <w:tc>
          <w:tcPr>
            <w:tcW w:type="dxa" w:w="2800"/>
            <w:shd w:fill="F2F2F2" w:color="auto" w:val="clear"/>
            <w:tcMar>
              <w:top w:type="dxa" w:w="80"/>
              <w:left w:type="dxa" w:w="120"/>
              <w:bottom w:type="dxa" w:w="80"/>
              <w:right w:type="dxa" w:w="120"/>
            </w:tcMar>
            <w:vAlign w:val="center"/>
          </w:tcPr>
          <w:p>
            <w:pPr>
              <w:jc w:val="left"/>
            </w:pPr>
            <w:r>
              <w:rPr>
                <w:b w:val="false"/>
                <w:bCs w:val="false"/>
                <w:sz w:val="20"/>
                <w:szCs w:val="20"/>
              </w:rPr>
              <w:t xml:space="preserve">model_benchmark.py</w:t>
            </w:r>
          </w:p>
        </w:tc>
        <w:tc>
          <w:tcPr>
            <w:tcW w:type="dxa" w:w="6560"/>
            <w:shd w:fill="F2F2F2" w:color="auto" w:val="clear"/>
            <w:tcMar>
              <w:top w:type="dxa" w:w="80"/>
              <w:left w:type="dxa" w:w="120"/>
              <w:bottom w:type="dxa" w:w="80"/>
              <w:right w:type="dxa" w:w="120"/>
            </w:tcMar>
            <w:vAlign w:val="center"/>
          </w:tcPr>
          <w:p>
            <w:pPr>
              <w:jc w:val="left"/>
            </w:pPr>
            <w:r>
              <w:rPr>
                <w:b w:val="false"/>
                <w:bCs w:val="false"/>
                <w:sz w:val="20"/>
                <w:szCs w:val="20"/>
              </w:rPr>
              <w:t xml:space="preserve">The Stage A/B top-4-to-top-2 champion-selection logic (Section 6)</w:t>
            </w:r>
          </w:p>
        </w:tc>
      </w:tr>
      <w:tr>
        <w:trPr>
          <w:cantSplit/>
        </w:trPr>
        <w:tc>
          <w:tcPr>
            <w:tcW w:type="dxa" w:w="2800"/>
            <w:shd w:fill="FFFFFF" w:color="auto" w:val="clear"/>
            <w:tcMar>
              <w:top w:type="dxa" w:w="80"/>
              <w:left w:type="dxa" w:w="120"/>
              <w:bottom w:type="dxa" w:w="80"/>
              <w:right w:type="dxa" w:w="120"/>
            </w:tcMar>
            <w:vAlign w:val="center"/>
          </w:tcPr>
          <w:p>
            <w:pPr>
              <w:jc w:val="left"/>
            </w:pPr>
            <w:r>
              <w:rPr>
                <w:b w:val="false"/>
                <w:bCs w:val="false"/>
                <w:sz w:val="20"/>
                <w:szCs w:val="20"/>
              </w:rPr>
              <w:t xml:space="preserve">model_card_generator.py</w:t>
            </w:r>
          </w:p>
        </w:tc>
        <w:tc>
          <w:tcPr>
            <w:tcW w:type="dxa" w:w="6560"/>
            <w:shd w:fill="FFFFFF" w:color="auto" w:val="clear"/>
            <w:tcMar>
              <w:top w:type="dxa" w:w="80"/>
              <w:left w:type="dxa" w:w="120"/>
              <w:bottom w:type="dxa" w:w="80"/>
              <w:right w:type="dxa" w:w="120"/>
            </w:tcMar>
            <w:vAlign w:val="center"/>
          </w:tcPr>
          <w:p>
            <w:pPr>
              <w:jc w:val="left"/>
            </w:pPr>
            <w:r>
              <w:rPr>
                <w:b w:val="false"/>
                <w:bCs w:val="false"/>
                <w:sz w:val="20"/>
                <w:szCs w:val="20"/>
              </w:rPr>
              <w:t xml:space="preserve">The standardized Model Card fields (Section 11), populated from whatever model/metrics object is passed in</w:t>
            </w:r>
          </w:p>
        </w:tc>
      </w:tr>
    </w:tbl>
    <w:p>
      <w:pPr>
        <w:spacing w:after="160"/>
      </w:pPr>
      <w:r>
        <w:rPr>
          <w:i/>
          <w:iCs/>
        </w:rPr>
        <w:t xml:space="preserve">Each module is written once against Project 1's real data, then genuinely re-tested (not assumed to work) against Commercial Credit's different schema before being trusted as “shared.”</w:t>
      </w:r>
    </w:p>
    <w:p>
      <w:pPr>
        <w:pStyle w:val="Heading2"/>
        <w:spacing w:after="150" w:before="300"/>
      </w:pPr>
      <w:r>
        <w:t xml:space="preserve">17.3 Durable</w:t>
      </w:r>
    </w:p>
    <w:p>
      <w:pPr>
        <w:pStyle w:val="ListParagraph"/>
        <w:numPr>
          <w:ilvl w:val="0"/>
          <w:numId w:val="2"/>
        </w:numPr>
        <w:spacing w:after="80"/>
      </w:pPr>
      <w:r>
        <w:t xml:space="preserve">Versioning convention: every champion model is tagged with a semantic version (e.g., fraud-champion-v1.0.0), bound to both a training-data snapshot identifier and a code commit hash — so any deployed artifact can be traced back to the exact data and code that produced it.</w:t>
      </w:r>
    </w:p>
    <w:p>
      <w:pPr>
        <w:pStyle w:val="ListParagraph"/>
        <w:numPr>
          <w:ilvl w:val="0"/>
          <w:numId w:val="2"/>
        </w:numPr>
        <w:spacing w:after="80"/>
      </w:pPr>
      <w:r>
        <w:t xml:space="preserve">Environment reproducibility: an exact pinned requirements.txt (library==version, not a bare library name) is committed alongside every notebook, and reproducibility is genuinely tested by rerunning the pipeline in a clean environment before archiving a version — not assumed to still work.</w:t>
      </w:r>
    </w:p>
    <w:p>
      <w:pPr>
        <w:pStyle w:val="ListParagraph"/>
        <w:numPr>
          <w:ilvl w:val="0"/>
          <w:numId w:val="2"/>
        </w:numPr>
        <w:spacing w:after="80"/>
      </w:pPr>
      <w:r>
        <w:t xml:space="preserve">Retention &amp; rollback: the last three champion versions are kept archived, not just the current one. If a newly promoted champion's live monitored PR-AUC (Section 9) underperforms the previous champion within a stated review window, the rollback procedure reverts to the prior archived version rather than leaving a degraded model in production while a fix is built.</w:t>
      </w:r>
    </w:p>
    <w:p>
      <w:pPr>
        <w:pStyle w:val="Heading2"/>
        <w:spacing w:after="150" w:before="300"/>
      </w:pPr>
      <w:r>
        <w:t xml:space="preserve">17.4 Production &amp; Deployment-Ready</w:t>
      </w:r>
    </w:p>
    <w:p>
      <w:pPr>
        <w:pStyle w:val="ListParagraph"/>
        <w:numPr>
          <w:ilvl w:val="0"/>
          <w:numId w:val="2"/>
        </w:numPr>
        <w:spacing w:after="80"/>
      </w:pPr>
      <w:r>
        <w:t xml:space="preserve">API contract: an explicit request schema (the real transaction fields a scoring call needs) and response schema (score, hold/allow decision, top-3 SHAP reasons for the review queue) — a genuine interface specification, not just “a scoring pipeline exists.”</w:t>
      </w:r>
    </w:p>
    <w:p>
      <w:pPr>
        <w:pStyle w:val="ListParagraph"/>
        <w:numPr>
          <w:ilvl w:val="0"/>
          <w:numId w:val="2"/>
        </w:numPr>
        <w:spacing w:after="80"/>
      </w:pPr>
      <w:r>
        <w:t xml:space="preserve">Containerization: a Dockerfile design — pinned base image, the pinned requirements.txt from Section 17.3, a non-root runtime user — giving HYPER's generic “shared Docker/CI/K8s config” technique a concrete instance for this project.</w:t>
      </w:r>
    </w:p>
    <w:p>
      <w:pPr>
        <w:pStyle w:val="ListParagraph"/>
        <w:numPr>
          <w:ilvl w:val="0"/>
          <w:numId w:val="2"/>
        </w:numPr>
        <w:spacing w:after="80"/>
      </w:pPr>
      <w:r>
        <w:t xml:space="preserve">Canary/shadow deployment: a newly promoted champion first runs in shadow mode — scoring real transactions without acting on the result — for a stated period, compared against the current production champion, before any live cutover. This is how the rollback policy in 17.3 is avoided rather than just planned for.</w:t>
      </w:r>
    </w:p>
    <w:p>
      <w:pPr>
        <w:pStyle w:val="ListParagraph"/>
        <w:numPr>
          <w:ilvl w:val="0"/>
          <w:numId w:val="2"/>
        </w:numPr>
        <w:spacing w:after="80"/>
      </w:pPr>
      <w:r>
        <w:t xml:space="preserve">Health checks &amp; load target: a stated throughput target consistent with the Section 12 latency SLA (sub-100ms p99 per call), plus a conceptual load-test plan describing how that target would be verified before go-live.</w:t>
      </w:r>
    </w:p>
    <w:p>
      <w:pPr>
        <w:pStyle w:val="Heading2"/>
        <w:spacing w:after="150" w:before="300"/>
      </w:pPr>
      <w:r>
        <w:t xml:space="preserve">17.5 Continuous-Improvement-Ready</w:t>
      </w:r>
    </w:p>
    <w:p>
      <w:pPr>
        <w:pStyle w:val="ListParagraph"/>
        <w:numPr>
          <w:ilvl w:val="0"/>
          <w:numId w:val="2"/>
        </w:numPr>
        <w:spacing w:after="80"/>
      </w:pPr>
      <w:r>
        <w:t xml:space="preserve">Feedback loop: outcomes from the human-oversight review queue (Section 3) — confirmed fraud vs. confirmed false positive — are captured as newly labeled data, closing the loop back into future training rather than the model being scored once and left static.</w:t>
      </w:r>
    </w:p>
    <w:p>
      <w:pPr>
        <w:pStyle w:val="ListParagraph"/>
        <w:numPr>
          <w:ilvl w:val="0"/>
          <w:numId w:val="2"/>
        </w:numPr>
        <w:spacing w:after="80"/>
      </w:pPr>
      <w:r>
        <w:t xml:space="preserve">Retraining trigger: an explicit rule tied directly to Section 9's alert thresholds — when any Tier 1 threshold is breached, the Section 6 benchmark job is rerun on refreshed data (including the new feedback-loop labels) within a stated business-day window, rather than monitoring existing only to observe decay without acting on it.</w:t>
      </w:r>
    </w:p>
    <w:p>
      <w:pPr>
        <w:pStyle w:val="ListParagraph"/>
        <w:numPr>
          <w:ilvl w:val="0"/>
          <w:numId w:val="2"/>
        </w:numPr>
        <w:spacing w:after="80"/>
      </w:pPr>
      <w:r>
        <w:t xml:space="preserve">Shadow challenger models: at every retraining cycle, at least one new challenger model runs in shadow against the current champion's live traffic — the same “reproducible, versioned challenger” requirement from Section 1's 2026 MRM update, now operating continuously rather than as a one-time build-phase comparison.</w:t>
      </w:r>
    </w:p>
    <w:p>
      <w:pPr>
        <w:pStyle w:val="ListParagraph"/>
        <w:numPr>
          <w:ilvl w:val="0"/>
          <w:numId w:val="2"/>
        </w:numPr>
        <w:spacing w:after="80"/>
      </w:pPr>
      <w:r>
        <w:t xml:space="preserve">Lightweight experiment log: a versioned results table (model version, date, CV PR-AUC, temporal-split PR-AUC, bootstrap CI, promoted Y/N) is the minimum viable experiment-tracking artifact — upgradable to a full tool (e.g., MLflow) if the portfolio grows enough to justify it, but never skipped even before that point.</w:t>
      </w:r>
    </w:p>
    <w:p>
      <w:pPr>
        <w:pStyle w:val="Heading1"/>
        <w:spacing w:after="200" w:before="400"/>
      </w:pPr>
      <w:r>
        <w:t xml:space="preserve">18. Known Limitations &amp; Improvement Roadmap</w:t>
      </w:r>
    </w:p>
    <w:p>
      <w:pPr>
        <w:spacing w:after="160"/>
      </w:pPr>
      <w:r>
        <w:t xml:space="preserve">Every limitation below was already true of the project before this section existed — consolidating them here is about honesty and traceability, not introducing new weaknesses. Each one states what would genuinely resolve it, not a vague “future work.”</w:t>
      </w:r>
    </w:p>
    <w:p>
      <w:pPr>
        <w:pStyle w:val="Heading2"/>
        <w:spacing w:after="150" w:before="300"/>
      </w:pPr>
      <w:r>
        <w:t xml:space="preserve">18.1 Data Limitations</w:t>
      </w:r>
    </w:p>
    <w:p>
      <w:pPr>
        <w:pStyle w:val="ListParagraph"/>
        <w:numPr>
          <w:ilvl w:val="0"/>
          <w:numId w:val="2"/>
        </w:numPr>
        <w:spacing w:after="80"/>
      </w:pPr>
      <w:r>
        <w:t xml:space="preserve">No protected-class attributes exist (PCA anonymization) → fairness testing is scope-limited (Section 8). Improvement: not resolvable on this exact dataset without breaking the anonymization that makes it usable at all — a real fix requires a bank's own permissioned transaction data with lawful demographic fields under proper legal governance, not a public-dataset substitute.</w:t>
      </w:r>
    </w:p>
    <w:p>
      <w:pPr>
        <w:pStyle w:val="ListParagraph"/>
        <w:numPr>
          <w:ilvl w:val="0"/>
          <w:numId w:val="2"/>
        </w:numPr>
        <w:spacing w:after="80"/>
      </w:pPr>
      <w:r>
        <w:t xml:space="preserve">The data covers only a ~48-hour window → no genuine seasonal, monthly, or yearly drift pattern is observable (Section 9's monitoring design is demonstrated structurally, not validated against real multi-period data). Improvement: extend to weeks-to-months of real transaction history before treating the monitoring thresholds as validated rather than illustrative.</w:t>
      </w:r>
    </w:p>
    <w:p>
      <w:pPr>
        <w:pStyle w:val="ListParagraph"/>
        <w:numPr>
          <w:ilvl w:val="0"/>
          <w:numId w:val="2"/>
        </w:numPr>
        <w:spacing w:after="80"/>
      </w:pPr>
      <w:r>
        <w:t xml:space="preserve">Single source, single card network, one region and time period (European cardholders, September 2013 per the original ULB collection) → generalization to other networks, regions, or eras is unverified. Improvement: validate the champion model against a second, independent real fraud dataset before claiming it generalizes beyond this one.</w:t>
      </w:r>
    </w:p>
    <w:p>
      <w:pPr>
        <w:pStyle w:val="ListParagraph"/>
        <w:numPr>
          <w:ilvl w:val="0"/>
          <w:numId w:val="2"/>
        </w:numPr>
        <w:spacing w:after="80"/>
      </w:pPr>
      <w:r>
        <w:t xml:space="preserve">The Amount field's currency is not explicitly documented by the source and is commonly treated as Euros. Improvement: label every dollar-denominated figure as an explicit currency ASSUMPTION until source confirmation exists, rather than treating $ symbols as verified.</w:t>
      </w:r>
    </w:p>
    <w:p>
      <w:pPr>
        <w:pStyle w:val="ListParagraph"/>
        <w:numPr>
          <w:ilvl w:val="0"/>
          <w:numId w:val="2"/>
        </w:numPr>
        <w:spacing w:after="80"/>
      </w:pPr>
      <w:r>
        <w:t xml:space="preserve">Whether the 1,081 duplicate rows are genuine repeat transactions or data artifacts can only be inferred, not confirmed, given anonymization (Section 2). Improvement: not resolvable without de-anonymized data — the handling decision remains a documented judgment call, disclosed as such, not a certainty.</w:t>
      </w:r>
    </w:p>
    <w:p>
      <w:pPr>
        <w:pStyle w:val="Heading2"/>
        <w:spacing w:after="150" w:before="300"/>
      </w:pPr>
      <w:r>
        <w:t xml:space="preserve">18.2 Regulatory &amp; Compliance Limitations</w:t>
      </w:r>
    </w:p>
    <w:p>
      <w:pPr>
        <w:pStyle w:val="ListParagraph"/>
        <w:numPr>
          <w:ilvl w:val="0"/>
          <w:numId w:val="2"/>
        </w:numPr>
        <w:spacing w:after="80"/>
      </w:pPr>
      <w:r>
        <w:t xml:space="preserve">The regulatory framing in Section 3 (SR 26-2 / EU AI Act references) is illustrative awareness, not an actual conformity assessment — no legal counsel, no regulator engagement, no real Article 43 submission has occurred. Improvement: any real deployment requires actual legal/compliance sign-off; this document does not substitute for that.</w:t>
      </w:r>
    </w:p>
    <w:p>
      <w:pPr>
        <w:pStyle w:val="ListParagraph"/>
        <w:numPr>
          <w:ilvl w:val="0"/>
          <w:numId w:val="2"/>
        </w:numPr>
        <w:spacing w:after="80"/>
      </w:pPr>
      <w:r>
        <w:t xml:space="preserve">Regulatory scope covered is US- and EU-centric. India's RBI released a draft AI Model Risk Management framework for banks/NBFCs in 2026 that has not been incorporated, despite being directly relevant given this portfolio's India-based development context. Improvement: add an RBI-framework applicability pass if this portfolio is ever positioned toward India-based institutions or global banks operating in India.</w:t>
      </w:r>
    </w:p>
    <w:p>
      <w:pPr>
        <w:pStyle w:val="ListParagraph"/>
        <w:numPr>
          <w:ilvl w:val="0"/>
          <w:numId w:val="2"/>
        </w:numPr>
        <w:spacing w:after="80"/>
      </w:pPr>
      <w:r>
        <w:t xml:space="preserve">The human-oversight design (Sections 3, 17.4) is conceptual — no real review-queue system, staffing plan, or escalation process has been built or tested. Improvement: build and pilot an actual review workflow before claiming operational (not just designed) human oversight.</w:t>
      </w:r>
    </w:p>
    <w:p>
      <w:pPr>
        <w:pStyle w:val="Heading2"/>
        <w:spacing w:after="150" w:before="300"/>
      </w:pPr>
      <w:r>
        <w:t xml:space="preserve">18.3 Modeling &amp; Financial-Impact Limitations</w:t>
      </w:r>
    </w:p>
    <w:p>
      <w:pPr>
        <w:pStyle w:val="ListParagraph"/>
        <w:numPr>
          <w:ilvl w:val="0"/>
          <w:numId w:val="2"/>
        </w:numPr>
        <w:spacing w:after="80"/>
      </w:pPr>
      <w:r>
        <w:t xml:space="preserve">Missed-fraud loss is modeled as the full transaction Amount; real-world fraud loss often includes partial recovery or chargeback reversal, which this simplification ignores. Improvement: incorporate a recovery-rate assumption (explicitly labeled, per Section 10's Measured/Assumed boundary) if better real recovery-rate data becomes available.</w:t>
      </w:r>
    </w:p>
    <w:p>
      <w:pPr>
        <w:pStyle w:val="ListParagraph"/>
        <w:numPr>
          <w:ilvl w:val="0"/>
          <w:numId w:val="2"/>
        </w:numPr>
        <w:spacing w:after="80"/>
      </w:pPr>
      <w:r>
        <w:t xml:space="preserve">False-positive friction cost and per-case investigation cost remain assumed inputs, not measured ones (Section 10). Improvement: replace with a real institution's actual operational cost data the moment this moves beyond a portfolio project.</w:t>
      </w:r>
    </w:p>
    <w:p>
      <w:pPr>
        <w:pStyle w:val="ListParagraph"/>
        <w:numPr>
          <w:ilvl w:val="0"/>
          <w:numId w:val="2"/>
        </w:numPr>
        <w:spacing w:after="80"/>
      </w:pPr>
      <w:r>
        <w:t xml:space="preserve">The stress-test scenario (Section 7's Gate 2 addition) uses a documented hypothetical shock, not the Federal Reserve's actual confidential severely-adverse scenario parameters. Improvement: substitute the real published scenario file for the target institution/year if this is ever used in an actual CCAR/DFAST context.</w:t>
      </w:r>
    </w:p>
    <w:p>
      <w:pPr>
        <w:pStyle w:val="Heading2"/>
        <w:spacing w:after="150" w:before="300"/>
      </w:pPr>
      <w:r>
        <w:t xml:space="preserve">18.4 Infrastructure &amp; Deployment Limitations</w:t>
      </w:r>
    </w:p>
    <w:p>
      <w:pPr>
        <w:pStyle w:val="ListParagraph"/>
        <w:numPr>
          <w:ilvl w:val="0"/>
          <w:numId w:val="2"/>
        </w:numPr>
        <w:spacing w:after="80"/>
      </w:pPr>
      <w:r>
        <w:t xml:space="preserve">The serving architecture, API contract, containerization, and canary-deployment design (Sections 12, 17.4) are specifications, not a deployed, load-tested system. Improvement: an actual cloud deployment and real load test are required before any latency or throughput claim is treated as production-proven rather than production-designed.</w:t>
      </w:r>
    </w:p>
    <w:p>
      <w:pPr>
        <w:pStyle w:val="ListParagraph"/>
        <w:numPr>
          <w:ilvl w:val="0"/>
          <w:numId w:val="2"/>
        </w:numPr>
        <w:spacing w:after="80"/>
      </w:pPr>
      <w:r>
        <w:t xml:space="preserve">The reusable-module inventory (Section 17.2) is a plan — none of the six modules have yet been built and proven reusable by a second project. Improvement: treat the reusability claim as validated only after Commercial Credit actually imports and successfully uses them, not before.</w:t>
      </w:r>
    </w:p>
    <w:p>
      <w:pPr>
        <w:pStyle w:val="ListParagraph"/>
        <w:numPr>
          <w:ilvl w:val="0"/>
          <w:numId w:val="2"/>
        </w:numPr>
        <w:spacing w:after="80"/>
      </w:pPr>
      <w:r>
        <w:t xml:space="preserve">The single-node scalability ceiling (Section 17.1) is a planned measurement, not yet a completed one. Improvement: run the real N× data-replication test on your own machine and record the actual ceiling before describing this project as “scalable” rather than “designed to be scalable.”</w:t>
      </w:r>
    </w:p>
    <w:p>
      <w:pPr>
        <w:pStyle w:val="Heading2"/>
        <w:spacing w:after="150" w:before="300"/>
      </w:pPr>
      <w:r>
        <w:t xml:space="preserve">18.5 Continuous-Improvement Limitations</w:t>
      </w:r>
    </w:p>
    <w:p>
      <w:pPr>
        <w:pStyle w:val="ListParagraph"/>
        <w:numPr>
          <w:ilvl w:val="0"/>
          <w:numId w:val="2"/>
        </w:numPr>
        <w:spacing w:after="80"/>
      </w:pPr>
      <w:r>
        <w:t xml:space="preserve">The feedback loop, retraining trigger, and shadow-challenger design (Section 17.5) all depend on a live system that does not exist for a portfolio project — there is no real review queue generating new labels yet. Improvement: these become real and testable only once/if this model is actually deployed somewhere with live traffic.</w:t>
      </w:r>
    </w:p>
    <w:p>
      <w:pPr>
        <w:pStyle w:val="ListParagraph"/>
        <w:numPr>
          <w:ilvl w:val="0"/>
          <w:numId w:val="2"/>
        </w:numPr>
        <w:spacing w:after="80"/>
      </w:pPr>
      <w:r>
        <w:t xml:space="preserve">No project-specific bug/error log exists yet, unlike AMEX and Home Credit, because Notebook 01 has not been run for real. Improvement: per the standing instruction to learn from real errors, Section 13's standing-lessons table must be appended with Project 1's own real bugs as they are found during the actual build — this playbook is not complete until that happens.</w:t>
      </w:r>
    </w:p>
    <w:p>
      <w:pPr>
        <w:pStyle w:val="Heading2"/>
        <w:spacing w:after="150" w:before="300"/>
      </w:pPr>
      <w:r>
        <w:t xml:space="preserve">18.6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60"/>
      </w:tblGrid>
      <w:tr>
        <w:trPr>
          <w:cantSplit/>
          <w:tblHeader/>
        </w:trPr>
        <w:tc>
          <w:tcPr>
            <w:tcW w:type="dxa" w:w="2900"/>
            <w:shd w:fill="1F3864" w:color="auto"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1800"/>
            <w:shd w:fill="1F3864" w:color="auto" w:val="clear"/>
            <w:tcMar>
              <w:top w:type="dxa" w:w="80"/>
              <w:left w:type="dxa" w:w="120"/>
              <w:bottom w:type="dxa" w:w="80"/>
              <w:right w:type="dxa" w:w="120"/>
            </w:tcMar>
            <w:vAlign w:val="center"/>
          </w:tcPr>
          <w:p>
            <w:pPr>
              <w:jc w:val="left"/>
            </w:pPr>
            <w:r>
              <w:rPr>
                <w:b/>
                <w:bCs/>
                <w:color w:val="FFFFFF"/>
                <w:sz w:val="20"/>
                <w:szCs w:val="20"/>
              </w:rPr>
              <w:t xml:space="preserve">Open Items</w:t>
            </w:r>
          </w:p>
        </w:tc>
        <w:tc>
          <w:tcPr>
            <w:tcW w:type="dxa" w:w="4660"/>
            <w:shd w:fill="1F3864" w:color="auto" w:val="clear"/>
            <w:tcMar>
              <w:top w:type="dxa" w:w="80"/>
              <w:left w:type="dxa" w:w="120"/>
              <w:bottom w:type="dxa" w:w="80"/>
              <w:right w:type="dxa" w:w="120"/>
            </w:tcMar>
            <w:vAlign w:val="center"/>
          </w:tcPr>
          <w:p>
            <w:pPr>
              <w:jc w:val="left"/>
            </w:pPr>
            <w:r>
              <w:rPr>
                <w:b/>
                <w:bCs/>
                <w:color w:val="FFFFFF"/>
                <w:sz w:val="20"/>
                <w:szCs w:val="20"/>
              </w:rPr>
              <w:t xml:space="preserve">Primarily Resolved By</w:t>
            </w:r>
          </w:p>
        </w:tc>
      </w:tr>
      <w:tr>
        <w:trPr>
          <w:cantSplit/>
        </w:trPr>
        <w:tc>
          <w:tcPr>
            <w:tcW w:type="dxa" w:w="2900"/>
            <w:shd w:fill="F2F2F2" w:color="auto" w:val="clear"/>
            <w:tcMar>
              <w:top w:type="dxa" w:w="80"/>
              <w:left w:type="dxa" w:w="120"/>
              <w:bottom w:type="dxa" w:w="80"/>
              <w:right w:type="dxa" w:w="120"/>
            </w:tcMar>
            <w:vAlign w:val="center"/>
          </w:tcPr>
          <w:p>
            <w:pPr>
              <w:jc w:val="left"/>
            </w:pPr>
            <w:r>
              <w:rPr>
                <w:b w:val="false"/>
                <w:bCs w:val="false"/>
                <w:sz w:val="20"/>
                <w:szCs w:val="20"/>
              </w:rPr>
              <w:t xml:space="preserve">Data</w:t>
            </w:r>
          </w:p>
        </w:tc>
        <w:tc>
          <w:tcPr>
            <w:tcW w:type="dxa" w:w="1800"/>
            <w:shd w:fill="F2F2F2" w:color="auto" w:val="clear"/>
            <w:tcMar>
              <w:top w:type="dxa" w:w="80"/>
              <w:left w:type="dxa" w:w="120"/>
              <w:bottom w:type="dxa" w:w="80"/>
              <w:right w:type="dxa" w:w="120"/>
            </w:tcMar>
            <w:vAlign w:val="center"/>
          </w:tcPr>
          <w:p>
            <w:pPr>
              <w:jc w:val="left"/>
            </w:pPr>
            <w:r>
              <w:rPr>
                <w:b w:val="false"/>
                <w:bCs w:val="false"/>
                <w:sz w:val="20"/>
                <w:szCs w:val="20"/>
              </w:rPr>
              <w:t xml:space="preserve">5</w:t>
            </w:r>
          </w:p>
        </w:tc>
        <w:tc>
          <w:tcPr>
            <w:tcW w:type="dxa" w:w="4660"/>
            <w:shd w:fill="F2F2F2" w:color="auto" w:val="clear"/>
            <w:tcMar>
              <w:top w:type="dxa" w:w="80"/>
              <w:left w:type="dxa" w:w="120"/>
              <w:bottom w:type="dxa" w:w="80"/>
              <w:right w:type="dxa" w:w="120"/>
            </w:tcMar>
            <w:vAlign w:val="center"/>
          </w:tcPr>
          <w:p>
            <w:pPr>
              <w:jc w:val="left"/>
            </w:pPr>
            <w:r>
              <w:rPr>
                <w:b w:val="false"/>
                <w:bCs w:val="false"/>
                <w:sz w:val="20"/>
                <w:szCs w:val="20"/>
              </w:rPr>
              <w:t xml:space="preserve">A larger, longer-horizon, or second real dataset</w:t>
            </w:r>
          </w:p>
        </w:tc>
      </w:tr>
      <w:tr>
        <w:trPr>
          <w:cantSplit/>
        </w:trPr>
        <w:tc>
          <w:tcPr>
            <w:tcW w:type="dxa" w:w="2900"/>
            <w:shd w:fill="FFFFFF" w:color="auto" w:val="clear"/>
            <w:tcMar>
              <w:top w:type="dxa" w:w="80"/>
              <w:left w:type="dxa" w:w="120"/>
              <w:bottom w:type="dxa" w:w="80"/>
              <w:right w:type="dxa" w:w="120"/>
            </w:tcMar>
            <w:vAlign w:val="center"/>
          </w:tcPr>
          <w:p>
            <w:pPr>
              <w:jc w:val="left"/>
            </w:pPr>
            <w:r>
              <w:rPr>
                <w:b w:val="false"/>
                <w:bCs w:val="false"/>
                <w:sz w:val="20"/>
                <w:szCs w:val="20"/>
              </w:rPr>
              <w:t xml:space="preserve">Regulatory &amp; Compliance</w:t>
            </w:r>
          </w:p>
        </w:tc>
        <w:tc>
          <w:tcPr>
            <w:tcW w:type="dxa" w:w="1800"/>
            <w:shd w:fill="FFFFFF" w:color="auto"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4660"/>
            <w:shd w:fill="FFFFFF" w:color="auto" w:val="clear"/>
            <w:tcMar>
              <w:top w:type="dxa" w:w="80"/>
              <w:left w:type="dxa" w:w="120"/>
              <w:bottom w:type="dxa" w:w="80"/>
              <w:right w:type="dxa" w:w="120"/>
            </w:tcMar>
            <w:vAlign w:val="center"/>
          </w:tcPr>
          <w:p>
            <w:pPr>
              <w:jc w:val="left"/>
            </w:pPr>
            <w:r>
              <w:rPr>
                <w:b w:val="false"/>
                <w:bCs w:val="false"/>
                <w:sz w:val="20"/>
                <w:szCs w:val="20"/>
              </w:rPr>
              <w:t xml:space="preserve">Actual legal/compliance engagement; an RBI-framework pass</w:t>
            </w:r>
          </w:p>
        </w:tc>
      </w:tr>
      <w:tr>
        <w:trPr>
          <w:cantSplit/>
        </w:trPr>
        <w:tc>
          <w:tcPr>
            <w:tcW w:type="dxa" w:w="2900"/>
            <w:shd w:fill="F2F2F2" w:color="auto" w:val="clear"/>
            <w:tcMar>
              <w:top w:type="dxa" w:w="80"/>
              <w:left w:type="dxa" w:w="120"/>
              <w:bottom w:type="dxa" w:w="80"/>
              <w:right w:type="dxa" w:w="120"/>
            </w:tcMar>
            <w:vAlign w:val="center"/>
          </w:tcPr>
          <w:p>
            <w:pPr>
              <w:jc w:val="left"/>
            </w:pPr>
            <w:r>
              <w:rPr>
                <w:b w:val="false"/>
                <w:bCs w:val="false"/>
                <w:sz w:val="20"/>
                <w:szCs w:val="20"/>
              </w:rPr>
              <w:t xml:space="preserve">Modeling &amp; Financial-Impact</w:t>
            </w:r>
          </w:p>
        </w:tc>
        <w:tc>
          <w:tcPr>
            <w:tcW w:type="dxa" w:w="1800"/>
            <w:shd w:fill="F2F2F2" w:color="auto"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4660"/>
            <w:shd w:fill="F2F2F2" w:color="auto" w:val="clear"/>
            <w:tcMar>
              <w:top w:type="dxa" w:w="80"/>
              <w:left w:type="dxa" w:w="120"/>
              <w:bottom w:type="dxa" w:w="80"/>
              <w:right w:type="dxa" w:w="120"/>
            </w:tcMar>
            <w:vAlign w:val="center"/>
          </w:tcPr>
          <w:p>
            <w:pPr>
              <w:jc w:val="left"/>
            </w:pPr>
            <w:r>
              <w:rPr>
                <w:b w:val="false"/>
                <w:bCs w:val="false"/>
                <w:sz w:val="20"/>
                <w:szCs w:val="20"/>
              </w:rPr>
              <w:t xml:space="preserve">Real operational cost and recovery-rate data from an actual institution</w:t>
            </w:r>
          </w:p>
        </w:tc>
      </w:tr>
      <w:tr>
        <w:trPr>
          <w:cantSplit/>
        </w:trPr>
        <w:tc>
          <w:tcPr>
            <w:tcW w:type="dxa" w:w="2900"/>
            <w:shd w:fill="FFFFFF" w:color="auto" w:val="clear"/>
            <w:tcMar>
              <w:top w:type="dxa" w:w="80"/>
              <w:left w:type="dxa" w:w="120"/>
              <w:bottom w:type="dxa" w:w="80"/>
              <w:right w:type="dxa" w:w="120"/>
            </w:tcMar>
            <w:vAlign w:val="center"/>
          </w:tcPr>
          <w:p>
            <w:pPr>
              <w:jc w:val="left"/>
            </w:pPr>
            <w:r>
              <w:rPr>
                <w:b w:val="false"/>
                <w:bCs w:val="false"/>
                <w:sz w:val="20"/>
                <w:szCs w:val="20"/>
              </w:rPr>
              <w:t xml:space="preserve">Infrastructure &amp; Deployment</w:t>
            </w:r>
          </w:p>
        </w:tc>
        <w:tc>
          <w:tcPr>
            <w:tcW w:type="dxa" w:w="1800"/>
            <w:shd w:fill="FFFFFF" w:color="auto"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4660"/>
            <w:shd w:fill="FFFFFF" w:color="auto" w:val="clear"/>
            <w:tcMar>
              <w:top w:type="dxa" w:w="80"/>
              <w:left w:type="dxa" w:w="120"/>
              <w:bottom w:type="dxa" w:w="80"/>
              <w:right w:type="dxa" w:w="120"/>
            </w:tcMar>
            <w:vAlign w:val="center"/>
          </w:tcPr>
          <w:p>
            <w:pPr>
              <w:jc w:val="left"/>
            </w:pPr>
            <w:r>
              <w:rPr>
                <w:b w:val="false"/>
                <w:bCs w:val="false"/>
                <w:sz w:val="20"/>
                <w:szCs w:val="20"/>
              </w:rPr>
              <w:t xml:space="preserve">A real cloud deployment and load test</w:t>
            </w:r>
          </w:p>
        </w:tc>
      </w:tr>
      <w:tr>
        <w:trPr>
          <w:cantSplit/>
        </w:trPr>
        <w:tc>
          <w:tcPr>
            <w:tcW w:type="dxa" w:w="2900"/>
            <w:shd w:fill="F2F2F2" w:color="auto" w:val="clear"/>
            <w:tcMar>
              <w:top w:type="dxa" w:w="80"/>
              <w:left w:type="dxa" w:w="120"/>
              <w:bottom w:type="dxa" w:w="80"/>
              <w:right w:type="dxa" w:w="120"/>
            </w:tcMar>
            <w:vAlign w:val="center"/>
          </w:tcPr>
          <w:p>
            <w:pPr>
              <w:jc w:val="left"/>
            </w:pPr>
            <w:r>
              <w:rPr>
                <w:b w:val="false"/>
                <w:bCs w:val="false"/>
                <w:sz w:val="20"/>
                <w:szCs w:val="20"/>
              </w:rPr>
              <w:t xml:space="preserve">Continuous Improvement</w:t>
            </w:r>
          </w:p>
        </w:tc>
        <w:tc>
          <w:tcPr>
            <w:tcW w:type="dxa" w:w="1800"/>
            <w:shd w:fill="F2F2F2" w:color="auto"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4660"/>
            <w:shd w:fill="F2F2F2" w:color="auto" w:val="clear"/>
            <w:tcMar>
              <w:top w:type="dxa" w:w="80"/>
              <w:left w:type="dxa" w:w="120"/>
              <w:bottom w:type="dxa" w:w="80"/>
              <w:right w:type="dxa" w:w="120"/>
            </w:tcMar>
            <w:vAlign w:val="center"/>
          </w:tcPr>
          <w:p>
            <w:pPr>
              <w:jc w:val="left"/>
            </w:pPr>
            <w:r>
              <w:rPr>
                <w:b w:val="false"/>
                <w:bCs w:val="false"/>
                <w:sz w:val="20"/>
                <w:szCs w:val="20"/>
              </w:rPr>
              <w:t xml:space="preserve">Live deployment generating real feedback-loop data</w:t>
            </w:r>
          </w:p>
        </w:tc>
      </w:tr>
    </w:tbl>
    <w:p>
      <w:pPr>
        <w:spacing w:after="160"/>
      </w:pPr>
      <w:r>
        <w:rPr>
          <w:i/>
          <w:iCs/>
        </w:rPr>
        <w:t xml:space="preserve">None of these are reasons to delay building Project 1 — they are the honest boundary of what a portfolio project on public, anonymized data can prove versus what only a real institutional deployment could prove. Disclosing that boundary explicitly is itself part of the standing zero-fabrication policy.</w:t>
      </w:r>
    </w:p>
    <w:p>
      <w:pPr>
        <w:pStyle w:val="Heading1"/>
        <w:spacing w:after="200" w:before="400"/>
      </w:pPr>
      <w:r>
        <w:t xml:space="preserve">19. Enterprise Governance, Security &amp; External Validation (v5.0)</w:t>
      </w:r>
    </w:p>
    <w:p>
      <w:pPr>
        <w:spacing w:after="160"/>
      </w:pPr>
      <w:r>
        <w:t xml:space="preserve">Found by auditing this playbook against real institutional practice rather than against itself. Split into carry-over gaps (things your own prior work already established but that never made it into this project) and genuinely new gaps (grounded in real sources located this session).</w:t>
      </w:r>
    </w:p>
    <w:p>
      <w:pPr>
        <w:pStyle w:val="Heading2"/>
        <w:spacing w:after="150" w:before="300"/>
      </w:pPr>
      <w:r>
        <w:t xml:space="preserve">19.1 Governance Structure — Carried Over From Your Own Home Credit SOP</w:t>
      </w:r>
    </w:p>
    <w:p>
      <w:pPr>
        <w:spacing w:after="160"/>
      </w:pPr>
      <w:r>
        <w:t xml:space="preserve">Your own financial-institution SOP for Home Credit already establishes a real governance structure. It was never ported into this Fraud Detection playbook until now:</w:t>
      </w:r>
    </w:p>
    <w:p>
      <w:pPr>
        <w:pStyle w:val="ListParagraph"/>
        <w:numPr>
          <w:ilvl w:val="0"/>
          <w:numId w:val="2"/>
        </w:numPr>
        <w:spacing w:after="80"/>
      </w:pPr>
      <w:r>
        <w:t xml:space="preserve">Three Lines of Defense: Line 1 = the model developers building and monitoring the model day-to-day; Line 2 = an independent model validation/risk function that never reports to the same manager as Line 1, re-running the Section 6 benchmark and Section 7 validation independently; Line 3 = internal audit, periodically testing that Lines 1 and 2 actually did what they claim. This is the global standard structure model-risk functions are built around, not specific to any one project.</w:t>
      </w:r>
    </w:p>
    <w:p>
      <w:pPr>
        <w:pStyle w:val="ListParagraph"/>
        <w:numPr>
          <w:ilvl w:val="0"/>
          <w:numId w:val="2"/>
        </w:numPr>
        <w:spacing w:after="80"/>
      </w:pPr>
      <w:r>
        <w:t xml:space="preserve">Four-tier approval gate before production, exactly as in your Home Credit SOP: Technical Lead → Model Risk Manager → Chief Compliance Officer → Business Owner, each sign-off documented and dated, before Section 17.4's canary deployment is allowed to begin.</w:t>
      </w:r>
    </w:p>
    <w:p>
      <w:pPr>
        <w:pStyle w:val="ListParagraph"/>
        <w:numPr>
          <w:ilvl w:val="0"/>
          <w:numId w:val="2"/>
        </w:numPr>
        <w:spacing w:after="80"/>
      </w:pPr>
      <w:r>
        <w:t xml:space="preserve">Post-deployment monitoring cadence, carried over unchanged: weekly (PR-AUC vs. baseline, prediction-distribution checks), monthly (PSI/KS drift per Section 9), quarterly (full retraining decision), annual (independent Line-2 MRM revalidation, not just a Line-1 self-check).</w:t>
      </w:r>
    </w:p>
    <w:p>
      <w:pPr>
        <w:pStyle w:val="ListParagraph"/>
        <w:numPr>
          <w:ilvl w:val="0"/>
          <w:numId w:val="2"/>
        </w:numPr>
        <w:spacing w:after="80"/>
      </w:pPr>
      <w:r>
        <w:t xml:space="preserve">Test-coverage target, carried over unchanged: unit tests above 80% coverage on every reusable module in Section 17.2, not just the notebooks — code intended for reuse is held to a stricter bar than one-off analysis code.</w:t>
      </w:r>
    </w:p>
    <w:p>
      <w:pPr>
        <w:pStyle w:val="Heading2"/>
        <w:spacing w:after="150" w:before="300"/>
      </w:pPr>
      <w:r>
        <w:t xml:space="preserve">19.2 Adversarial Robustness &amp; Model Security (new)</w:t>
      </w:r>
    </w:p>
    <w:p>
      <w:pPr>
        <w:spacing w:after="160"/>
      </w:pPr>
      <w:r>
        <w:t xml:space="preserve">Fraud detection is an adversarially contested domain in a way Home Credit's underwriting model is not — the population being scored is actively trying to evade detection, not merely varying naturally. A 2020 USENIX study on evasion attacks against real banking fraud detection systems found that attackers strategically choose transaction amounts and timing (using the victim's own transaction history to blend in) to evade detection, and that the choice of detector matters materially — Random-Forest-based detectors cut attacker profit by roughly a third compared to logistic regression, though even they only caught evasive fraud attempts around two-thirds of the time.</w:t>
      </w:r>
    </w:p>
    <w:p>
      <w:pPr>
        <w:pStyle w:val="ListParagraph"/>
        <w:numPr>
          <w:ilvl w:val="0"/>
          <w:numId w:val="2"/>
        </w:numPr>
        <w:spacing w:after="80"/>
      </w:pPr>
      <w:r>
        <w:t xml:space="preserve">Add an adversarial-sensitivity check to Notebook 04 (validation): perturb real fraud transactions slightly in Amount and Time (the two features the real attack literature targets) and measure how much the champion model's detection rate degrades — a real, computable robustness metric, not a compliance checkbox.</w:t>
      </w:r>
    </w:p>
    <w:p>
      <w:pPr>
        <w:pStyle w:val="ListParagraph"/>
        <w:numPr>
          <w:ilvl w:val="0"/>
          <w:numId w:val="2"/>
        </w:numPr>
        <w:spacing w:after="80"/>
      </w:pPr>
      <w:r>
        <w:t xml:space="preserve">Treat the Section 6 model choice itself as a security decision, not just an accuracy one: the same benchmark that selects the champion by PR-AUC should also report each candidate's degradation under the Notebook 04 perturbation test, since a slightly-lower-PR-AUC model that degrades less under adversarial perturbation may be the more defensible production choice.</w:t>
      </w:r>
    </w:p>
    <w:p>
      <w:pPr>
        <w:pStyle w:val="ListParagraph"/>
        <w:numPr>
          <w:ilvl w:val="0"/>
          <w:numId w:val="2"/>
        </w:numPr>
        <w:spacing w:after="80"/>
      </w:pPr>
      <w:r>
        <w:t xml:space="preserve">Document this as an explicit limitation alongside Section 18: a portfolio project can demonstrate the perturbation-sensitivity test, but real adversarial red-teaming (an actual attacker attempting real evasion against a live system) is only possible with a live deployment, consistent with Section 18.4's infrastructure limitation.</w:t>
      </w:r>
    </w:p>
    <w:p>
      <w:pPr>
        <w:pStyle w:val="Heading2"/>
        <w:spacing w:after="150" w:before="300"/>
      </w:pPr>
      <w:r>
        <w:t xml:space="preserve">19.3 Data Security &amp; Access Control (new)</w:t>
      </w:r>
    </w:p>
    <w:p>
      <w:pPr>
        <w:pStyle w:val="ListParagraph"/>
        <w:numPr>
          <w:ilvl w:val="0"/>
          <w:numId w:val="2"/>
        </w:numPr>
        <w:spacing w:after="80"/>
      </w:pPr>
      <w:r>
        <w:t xml:space="preserve">Encryption: model artifacts, the feature store, and any logged inference data (Section 12) are specified as encrypted at rest and in transit — a design requirement stated now even though no live infrastructure exists yet to encrypt.</w:t>
      </w:r>
    </w:p>
    <w:p>
      <w:pPr>
        <w:pStyle w:val="ListParagraph"/>
        <w:numPr>
          <w:ilvl w:val="0"/>
          <w:numId w:val="2"/>
        </w:numPr>
        <w:spacing w:after="80"/>
      </w:pPr>
      <w:r>
        <w:t xml:space="preserve">Least-privilege access: who can view raw transaction data, who can retrain the champion model, and who can override a hold decision (Section 3's human oversight) are three different privilege levels, not one — specified as a design requirement for the eventual real system.</w:t>
      </w:r>
    </w:p>
    <w:p>
      <w:pPr>
        <w:pStyle w:val="ListParagraph"/>
        <w:numPr>
          <w:ilvl w:val="0"/>
          <w:numId w:val="2"/>
        </w:numPr>
        <w:spacing w:after="80"/>
      </w:pPr>
      <w:r>
        <w:t xml:space="preserve">Secrets management: any real deployment's API keys, database credentials, and model-registry credentials are never hardcoded or committed to the GitHub repo (Section 16.1) — stated explicitly here since it's the single most common real-world security failure in ML deployments.</w:t>
      </w:r>
    </w:p>
    <w:p>
      <w:pPr>
        <w:pStyle w:val="Heading2"/>
        <w:spacing w:after="150" w:before="300"/>
      </w:pPr>
      <w:r>
        <w:t xml:space="preserve">19.4 External Benchmark Validation (new)</w:t>
      </w:r>
    </w:p>
    <w:p>
      <w:pPr>
        <w:spacing w:after="160"/>
      </w:pPr>
      <w:r>
        <w:t xml:space="preserve">Every prior version of this playbook validated the champion model only against itself (other candidates in Stage A/B) and against a naive rule-based baseline (Section 10). A genuine external check compares it against a real published result on this exact dataset:</w:t>
      </w:r>
    </w:p>
    <w:p>
      <w:pPr>
        <w:pStyle w:val="ListParagraph"/>
        <w:numPr>
          <w:ilvl w:val="0"/>
          <w:numId w:val="2"/>
        </w:numPr>
        <w:spacing w:after="80"/>
      </w:pPr>
      <w:r>
        <w:t xml:space="preserve">A published baseline on this exact ULB credit-card dataset reports a Random Forest with class weighting achieving 0.9996 accuracy, 0.9333 precision, 0.7467 recall, and F1 = 0.8296. This is a real, citable reference point — not a target to reverse-engineer toward, but a sanity check: if the real champion model's numbers are wildly better or worse than this published result on the same data, that is itself a signal to investigate (possible leakage if wildly better; possible bug if far worse) before trusting the number.</w:t>
      </w:r>
    </w:p>
    <w:p>
      <w:pPr>
        <w:pStyle w:val="ListParagraph"/>
        <w:numPr>
          <w:ilvl w:val="0"/>
          <w:numId w:val="2"/>
        </w:numPr>
        <w:spacing w:after="80"/>
      </w:pPr>
      <w:r>
        <w:t xml:space="preserve">This comparison is added to Notebook 03/04 and disclosed in the Model Card (Section 11) with the source cited, exactly like any other attribution in this playbook.</w:t>
      </w:r>
    </w:p>
    <w:p>
      <w:pPr>
        <w:pStyle w:val="Heading2"/>
        <w:spacing w:after="150" w:before="300"/>
      </w:pPr>
      <w:r>
        <w:t xml:space="preserve">19.5 Incident Response &amp; Fallback Plan (new)</w:t>
      </w:r>
    </w:p>
    <w:p>
      <w:pPr>
        <w:pStyle w:val="ListParagraph"/>
        <w:numPr>
          <w:ilvl w:val="0"/>
          <w:numId w:val="2"/>
        </w:numPr>
        <w:spacing w:after="80"/>
      </w:pPr>
      <w:r>
        <w:t xml:space="preserve">A stated kill-switch design: if the ML scoring service fails, times out, or returns malformed output, the system falls back to a simple, pre-defined rule-based hold rule (e.g., flag transactions above a fixed Amount threshold) rather than either failing open (no fraud screening at all) or failing closed (blocking all transactions) — both of which are real, serious failure modes a top-tier bank's engineering review would ask about directly.</w:t>
      </w:r>
    </w:p>
    <w:p>
      <w:pPr>
        <w:pStyle w:val="ListParagraph"/>
        <w:numPr>
          <w:ilvl w:val="0"/>
          <w:numId w:val="2"/>
        </w:numPr>
        <w:spacing w:after="80"/>
      </w:pPr>
      <w:r>
        <w:t xml:space="preserve">This fallback rule is the same naive baseline already computed for comparison in Section 10 — it does not need to be built twice.</w:t>
      </w:r>
    </w:p>
    <w:p>
      <w:pPr>
        <w:pStyle w:val="Heading2"/>
        <w:spacing w:after="150" w:before="300"/>
      </w:pPr>
      <w:r>
        <w:t xml:space="preserve">19.6 Total Cost of Ownership (new addition to Section 10)</w:t>
      </w:r>
    </w:p>
    <w:p>
      <w:pPr>
        <w:spacing w:after="160"/>
      </w:pPr>
      <w:r>
        <w:t xml:space="preserve">Every financial-impact figure so far nets fraud-loss-prevented against false-positive friction cost, but not against the cost of running the platform itself. A complete ROI figure also subtracts an assumed (labeled, per Section 10's boundary) infrastructure and monitoring cost — compute for scoring and retraining, storage for the feature store and logs, and the operational cost of the Line-1/Line-2/Line-3 governance structure in Section 19.1 — so the reported net benefit is the actual bottom-line figure a CFO would ask for, not a partial one.</w:t>
      </w:r>
    </w:p>
    <w:p>
      <w:pPr>
        <w:pStyle w:val="Heading1"/>
        <w:spacing w:after="200" w:before="400"/>
      </w:pPr>
      <w:r>
        <w:t xml:space="preserve">20. Final Verdict — Does This Satisfy Top-Tier Global Firm Requirements?</w:t>
      </w:r>
    </w:p>
    <w:p>
      <w:pPr>
        <w:spacing w:after="160"/>
      </w:pPr>
      <w:r>
        <w:t xml:space="preserve">Split honestly into two different questions, because they have two different answers.</w:t>
      </w:r>
    </w:p>
    <w:p>
      <w:pPr>
        <w:pStyle w:val="Heading2"/>
        <w:spacing w:after="150" w:before="300"/>
      </w:pPr>
      <w:r>
        <w:t xml:space="preserve">Does the plan (methodology, documentation, design) match what a top-tier firm's model-risk, compliance, and engineering review would look for?</w:t>
      </w:r>
    </w:p>
    <w:p>
      <w:pPr>
        <w:spacing w:after="160"/>
      </w:pPr>
      <w:r>
        <w:t xml:space="preserve">Yes, substantially — after v5.0, this playbook now covers materiality tiering, fair-lending-style bias testing (to the extent the data allows), continuous monitoring with tier-based thresholds, forward-looking stress testing, lifetime-impact and cost-boundary discipline, a real reusable-component architecture, Three-Lines-of-Defense governance with four-tier approval, adversarial robustness awareness, data security design, and an external benchmark check. That is a genuinely comprehensive set — most of what a hiring panel or a model-risk reviewer at a top-tier bank would ask “did you think about X” finds an honest answer already written down, not a blank.</w:t>
      </w:r>
    </w:p>
    <w:p>
      <w:pPr>
        <w:pStyle w:val="Heading2"/>
        <w:spacing w:after="150" w:before="300"/>
      </w:pPr>
      <w:r>
        <w:t xml:space="preserve">Does the project, as it stands today, satisfy real-world top-tier production requirements?</w:t>
      </w:r>
    </w:p>
    <w:p>
      <w:pPr>
        <w:spacing w:after="160"/>
      </w:pPr>
      <w:r>
        <w:rPr>
          <w:i/>
          <w:iCs/>
        </w:rPr>
        <w:t xml:space="preserve">No — and Section 18 says exactly why, without needing repeating in full here: no live deployment exists, no real institutional data or operational cost figures back the assumed inputs, no actual legal/compliance sign-off has occurred, and no real adversarial red-team or load test has been run. Those are not documentation gaps that a v6.0 revision could close — they are the structural difference between a rigorously designed portfolio project and an operating production system, and no amount of additional writing changes that difference.</w:t>
      </w:r>
    </w:p>
    <w:p>
      <w:pPr>
        <w:spacing w:after="160"/>
      </w:pPr>
      <w:r>
        <w:t xml:space="preserve">The honest, single-sentence answer: this master plan now reflects real-world top-tier design and governance standards about as thoroughly as a portfolio project can, and disclosing that boundary — rather than blurring it — is itself the strongest signal of rigor this project can offer a top-tier reviewer.</w:t>
      </w:r>
    </w:p>
    <w:p>
      <w:pPr>
        <w:pStyle w:val="Heading1"/>
        <w:spacing w:after="200" w:before="400"/>
      </w:pPr>
      <w:r>
        <w:t xml:space="preserve">21. The Ultra-Powerful Execution Roadmap (v8.0)</w:t>
      </w:r>
    </w:p>
    <w:p>
      <w:pPr>
        <w:spacing w:after="160"/>
      </w:pPr>
      <w:r>
        <w:t xml:space="preserve">Ultra Powerful is earned through evidence, not asserted through documentation. This section is the concrete, checkable path from “Extremely Powerful plan” to “Ultra Powerful, proven system” — eight phases, each with a real Definition of Done. As of v7.0, real code and real artifacts exist for six of the eight phases (built and, where runnable, actually executed against synthetic verification data this session) — but READINESS is not EXECUTION. A phase's Definition of Done still requires your real run against real data/infrastructure. The table below distinguishes the two honestly.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00"/>
        <w:gridCol w:w="2000"/>
        <w:gridCol w:w="1560"/>
      </w:tblGrid>
      <w:tr>
        <w:trPr>
          <w:cantSplit/>
          <w:tblHeader/>
        </w:trPr>
        <w:tc>
          <w:tcPr>
            <w:tcW w:type="dxa" w:w="700"/>
            <w:shd w:fill="1F3864" w:color="auto" w:val="clear"/>
            <w:tcMar>
              <w:top w:type="dxa" w:w="80"/>
              <w:left w:type="dxa" w:w="120"/>
              <w:bottom w:type="dxa" w:w="80"/>
              <w:right w:type="dxa" w:w="120"/>
            </w:tcMar>
            <w:vAlign w:val="center"/>
          </w:tcPr>
          <w:p>
            <w:pPr>
              <w:jc w:val="left"/>
            </w:pPr>
            <w:r>
              <w:rPr>
                <w:b/>
                <w:bCs/>
                <w:color w:val="FFFFFF"/>
                <w:sz w:val="20"/>
                <w:szCs w:val="20"/>
              </w:rPr>
              <w:t xml:space="preserve">Phase</w:t>
            </w:r>
          </w:p>
        </w:tc>
        <w:tc>
          <w:tcPr>
            <w:tcW w:type="dxa" w:w="2200"/>
            <w:shd w:fill="1F3864" w:color="auto" w:val="clear"/>
            <w:tcMar>
              <w:top w:type="dxa" w:w="80"/>
              <w:left w:type="dxa" w:w="120"/>
              <w:bottom w:type="dxa" w:w="80"/>
              <w:right w:type="dxa" w:w="120"/>
            </w:tcMar>
            <w:vAlign w:val="center"/>
          </w:tcPr>
          <w:p>
            <w:pPr>
              <w:jc w:val="left"/>
            </w:pPr>
            <w:r>
              <w:rPr>
                <w:b/>
                <w:bCs/>
                <w:color w:val="FFFFFF"/>
                <w:sz w:val="20"/>
                <w:szCs w:val="20"/>
              </w:rPr>
              <w:t xml:space="preserve">What It Requires</w:t>
            </w:r>
          </w:p>
        </w:tc>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Definition of Done (Real Evidence)</w:t>
            </w:r>
          </w:p>
        </w:tc>
        <w:tc>
          <w:tcPr>
            <w:tcW w:type="dxa" w:w="2000"/>
            <w:shd w:fill="1F3864" w:color="auto" w:val="clear"/>
            <w:tcMar>
              <w:top w:type="dxa" w:w="80"/>
              <w:left w:type="dxa" w:w="120"/>
              <w:bottom w:type="dxa" w:w="80"/>
              <w:right w:type="dxa" w:w="120"/>
            </w:tcMar>
            <w:vAlign w:val="center"/>
          </w:tcPr>
          <w:p>
            <w:pPr>
              <w:jc w:val="left"/>
            </w:pPr>
            <w:r>
              <w:rPr>
                <w:b/>
                <w:bCs/>
                <w:color w:val="FFFFFF"/>
                <w:sz w:val="20"/>
                <w:szCs w:val="20"/>
              </w:rPr>
              <w:t xml:space="preserve">Readiness Status (v7.0)</w:t>
            </w:r>
          </w:p>
        </w:tc>
        <w:tc>
          <w:tcPr>
            <w:tcW w:type="dxa" w:w="1560"/>
            <w:shd w:fill="1F3864" w:color="auto" w:val="clear"/>
            <w:tcMar>
              <w:top w:type="dxa" w:w="80"/>
              <w:left w:type="dxa" w:w="120"/>
              <w:bottom w:type="dxa" w:w="80"/>
              <w:right w:type="dxa" w:w="120"/>
            </w:tcMar>
            <w:vAlign w:val="center"/>
          </w:tcPr>
          <w:p>
            <w:pPr>
              <w:jc w:val="left"/>
            </w:pPr>
            <w:r>
              <w:rPr>
                <w:b/>
                <w:bCs/>
                <w:color w:val="FFFFFF"/>
                <w:sz w:val="20"/>
                <w:szCs w:val="20"/>
              </w:rPr>
              <w:t xml:space="preserve">Who Runs It</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1</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Real end-to-end execution of Notebooks 01–08</w:t>
            </w:r>
          </w:p>
        </w:tc>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Every real number in Sections 2, 6, 9, 10 replaced with real, verified output</w:t>
            </w:r>
          </w:p>
        </w:tc>
        <w:tc>
          <w:tcPr>
            <w:tcW w:type="dxa" w:w="2000"/>
            <w:shd w:fill="F2F2F2" w:color="auto" w:val="clear"/>
            <w:tcMar>
              <w:top w:type="dxa" w:w="80"/>
              <w:left w:type="dxa" w:w="120"/>
              <w:bottom w:type="dxa" w:w="80"/>
              <w:right w:type="dxa" w:w="120"/>
            </w:tcMar>
            <w:vAlign w:val="center"/>
          </w:tcPr>
          <w:p>
            <w:pPr>
              <w:jc w:val="left"/>
            </w:pPr>
            <w:r>
              <w:rPr>
                <w:b w:val="false"/>
                <w:bCs w:val="false"/>
                <w:sz w:val="20"/>
                <w:szCs w:val="20"/>
              </w:rPr>
              <w:t xml:space="preserve">DONE (v8.0) — real end-to-end run completed against a verified real copy of the dataset; see Section 22. Executed by Claude in the cloud sandbox at your explicit direction, not on your own machine — see Section 22's provenance note before using these numbers in any portfolio/interview context.</w:t>
            </w:r>
          </w:p>
        </w:tc>
        <w:tc>
          <w:tcPr>
            <w:tcW w:type="dxa" w:w="1560"/>
            <w:shd w:fill="F2F2F2" w:color="auto" w:val="clear"/>
            <w:tcMar>
              <w:top w:type="dxa" w:w="80"/>
              <w:left w:type="dxa" w:w="120"/>
              <w:bottom w:type="dxa" w:w="80"/>
              <w:right w:type="dxa" w:w="120"/>
            </w:tcMar>
            <w:vAlign w:val="center"/>
          </w:tcPr>
          <w:p>
            <w:pPr>
              <w:jc w:val="left"/>
            </w:pPr>
            <w:r>
              <w:rPr>
                <w:b w:val="false"/>
                <w:bCs w:val="false"/>
                <w:sz w:val="20"/>
                <w:szCs w:val="20"/>
              </w:rPr>
              <w:t xml:space="preserve">Claude, this run — you may re-run on your own machine for a fully hands-on version</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2</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Real-world-sourced cost assumptions</w:t>
            </w:r>
          </w:p>
        </w:tc>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Section 10 uses the LexisNexis $4.41 figure AND the ~9.2× false-decline ratio instead of a placeholder</w:t>
            </w:r>
          </w:p>
        </w:tc>
        <w:tc>
          <w:tcPr>
            <w:tcW w:type="dxa" w:w="2000"/>
            <w:shd w:fill="FFFFFF" w:color="auto" w:val="clear"/>
            <w:tcMar>
              <w:top w:type="dxa" w:w="80"/>
              <w:left w:type="dxa" w:w="120"/>
              <w:bottom w:type="dxa" w:w="80"/>
              <w:right w:type="dxa" w:w="120"/>
            </w:tcMar>
            <w:vAlign w:val="center"/>
          </w:tcPr>
          <w:p>
            <w:pPr>
              <w:jc w:val="left"/>
            </w:pPr>
            <w:r>
              <w:rPr>
                <w:b w:val="false"/>
                <w:bCs w:val="false"/>
                <w:sz w:val="20"/>
                <w:szCs w:val="20"/>
              </w:rPr>
              <w:t xml:space="preserve">DONE — real sourced values wired into class_imbalance_utils.py as of v6.1</w:t>
            </w:r>
          </w:p>
        </w:tc>
        <w:tc>
          <w:tcPr>
            <w:tcW w:type="dxa" w:w="1560"/>
            <w:shd w:fill="FFFFFF" w:color="auto" w:val="clear"/>
            <w:tcMar>
              <w:top w:type="dxa" w:w="80"/>
              <w:left w:type="dxa" w:w="120"/>
              <w:bottom w:type="dxa" w:w="80"/>
              <w:right w:type="dxa" w:w="120"/>
            </w:tcMar>
            <w:vAlign w:val="center"/>
          </w:tcPr>
          <w:p>
            <w:pPr>
              <w:jc w:val="left"/>
            </w:pPr>
            <w:r>
              <w:rPr>
                <w:b w:val="false"/>
                <w:bCs w:val="false"/>
                <w:sz w:val="20"/>
                <w:szCs w:val="20"/>
              </w:rPr>
              <w:t xml:space="preserve">You + Claude</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3</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Adversarial red-team protocol</w:t>
            </w:r>
          </w:p>
        </w:tc>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The perturbation + boundary-search evasion tests are run for real on the real champion model; results reported honestly</w:t>
            </w:r>
          </w:p>
        </w:tc>
        <w:tc>
          <w:tcPr>
            <w:tcW w:type="dxa" w:w="2000"/>
            <w:shd w:fill="F2F2F2" w:color="auto" w:val="clear"/>
            <w:tcMar>
              <w:top w:type="dxa" w:w="80"/>
              <w:left w:type="dxa" w:w="120"/>
              <w:bottom w:type="dxa" w:w="80"/>
              <w:right w:type="dxa" w:w="120"/>
            </w:tcMar>
            <w:vAlign w:val="center"/>
          </w:tcPr>
          <w:p>
            <w:pPr>
              <w:jc w:val="left"/>
            </w:pPr>
            <w:r>
              <w:rPr>
                <w:b w:val="false"/>
                <w:bCs w:val="false"/>
                <w:sz w:val="20"/>
                <w:szCs w:val="20"/>
              </w:rPr>
              <w:t xml:space="preserve">DONE (v8.0) — run for real against the real trained CatBoost champion; see Section 22. Honest methodological caveat disclosed: evaluated in-sample (model scored on rows it was fit on), not on a strictly held-out fold — a real limitation, not a fabrication.</w:t>
            </w:r>
          </w:p>
        </w:tc>
        <w:tc>
          <w:tcPr>
            <w:tcW w:type="dxa" w:w="1560"/>
            <w:shd w:fill="F2F2F2" w:color="auto" w:val="clear"/>
            <w:tcMar>
              <w:top w:type="dxa" w:w="80"/>
              <w:left w:type="dxa" w:w="120"/>
              <w:bottom w:type="dxa" w:w="80"/>
              <w:right w:type="dxa" w:w="120"/>
            </w:tcMar>
            <w:vAlign w:val="center"/>
          </w:tcPr>
          <w:p>
            <w:pPr>
              <w:jc w:val="left"/>
            </w:pPr>
            <w:r>
              <w:rPr>
                <w:b w:val="false"/>
                <w:bCs w:val="false"/>
                <w:sz w:val="20"/>
                <w:szCs w:val="20"/>
              </w:rPr>
              <w:t xml:space="preserve">Claude, this run</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4</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Cross-dataset generalization test</w:t>
            </w:r>
          </w:p>
        </w:tc>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The real champion model is evaluated on a second real dataset (IEEE-CIS or PaySim), verified structurally first</w:t>
            </w:r>
          </w:p>
        </w:tc>
        <w:tc>
          <w:tcPr>
            <w:tcW w:type="dxa" w:w="2000"/>
            <w:shd w:fill="FFFFFF" w:color="auto" w:val="clear"/>
            <w:tcMar>
              <w:top w:type="dxa" w:w="80"/>
              <w:left w:type="dxa" w:w="120"/>
              <w:bottom w:type="dxa" w:w="80"/>
              <w:right w:type="dxa" w:w="120"/>
            </w:tcMar>
            <w:vAlign w:val="center"/>
          </w:tcPr>
          <w:p>
            <w:pPr>
              <w:jc w:val="left"/>
            </w:pPr>
            <w:r>
              <w:rPr>
                <w:b w:val="false"/>
                <w:bCs w:val="false"/>
                <w:sz w:val="20"/>
                <w:szCs w:val="20"/>
              </w:rPr>
              <w:t xml:space="preserve">Readiness: both candidate datasets diligenced with real, source-verified statistics (Section 21's Phase-4 diligence note); model_benchmark.py is dataset-agnostic and reusable as-is. Execution: not started.</w:t>
            </w:r>
          </w:p>
        </w:tc>
        <w:tc>
          <w:tcPr>
            <w:tcW w:type="dxa" w:w="1560"/>
            <w:shd w:fill="FFFFFF" w:color="auto" w:val="clear"/>
            <w:tcMar>
              <w:top w:type="dxa" w:w="80"/>
              <w:left w:type="dxa" w:w="120"/>
              <w:bottom w:type="dxa" w:w="80"/>
              <w:right w:type="dxa" w:w="120"/>
            </w:tcMar>
            <w:vAlign w:val="center"/>
          </w:tcPr>
          <w:p>
            <w:pPr>
              <w:jc w:val="left"/>
            </w:pPr>
            <w:r>
              <w:rPr>
                <w:b w:val="false"/>
                <w:bCs w:val="false"/>
                <w:sz w:val="20"/>
                <w:szCs w:val="20"/>
              </w:rPr>
              <w:t xml:space="preserve">You</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5</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A real, even small-scale, live deployment</w:t>
            </w:r>
          </w:p>
        </w:tc>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The scoring service runs somewhere and returns a real measured p99 latency on real calls</w:t>
            </w:r>
          </w:p>
        </w:tc>
        <w:tc>
          <w:tcPr>
            <w:tcW w:type="dxa" w:w="2000"/>
            <w:shd w:fill="F2F2F2" w:color="auto" w:val="clear"/>
            <w:tcMar>
              <w:top w:type="dxa" w:w="80"/>
              <w:left w:type="dxa" w:w="120"/>
              <w:bottom w:type="dxa" w:w="80"/>
              <w:right w:type="dxa" w:w="120"/>
            </w:tcMar>
            <w:vAlign w:val="center"/>
          </w:tcPr>
          <w:p>
            <w:pPr>
              <w:jc w:val="left"/>
            </w:pPr>
            <w:r>
              <w:rPr>
                <w:b w:val="false"/>
                <w:bCs w:val="false"/>
                <w:sz w:val="20"/>
                <w:szCs w:val="20"/>
              </w:rPr>
              <w:t xml:space="preserve">PARTIAL (v8.0): the real FastAPI service, running the real trained model, was actually started and hit with 300 real HTTP requests in this session — real p99 = 2.27ms; see Section 22. Not yet the full Definition of Done: this was localhost-to-localhost inside one sandbox, not a reachable live deployment.</w:t>
            </w:r>
          </w:p>
        </w:tc>
        <w:tc>
          <w:tcPr>
            <w:tcW w:type="dxa" w:w="1560"/>
            <w:shd w:fill="F2F2F2" w:color="auto" w:val="clear"/>
            <w:tcMar>
              <w:top w:type="dxa" w:w="80"/>
              <w:left w:type="dxa" w:w="120"/>
              <w:bottom w:type="dxa" w:w="80"/>
              <w:right w:type="dxa" w:w="120"/>
            </w:tcMar>
            <w:vAlign w:val="center"/>
          </w:tcPr>
          <w:p>
            <w:pPr>
              <w:jc w:val="left"/>
            </w:pPr>
            <w:r>
              <w:rPr>
                <w:b w:val="false"/>
                <w:bCs w:val="false"/>
                <w:sz w:val="20"/>
                <w:szCs w:val="20"/>
              </w:rPr>
              <w:t xml:space="preserve">Claude (local signal) — a real reachable deployment is still yours</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6</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A real governance dry-run</w:t>
            </w:r>
          </w:p>
        </w:tc>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The four-tier approval gate is actually exercised, with dated sign-off notes for each role</w:t>
            </w:r>
          </w:p>
        </w:tc>
        <w:tc>
          <w:tcPr>
            <w:tcW w:type="dxa" w:w="2000"/>
            <w:shd w:fill="FFFFFF" w:color="auto" w:val="clear"/>
            <w:tcMar>
              <w:top w:type="dxa" w:w="80"/>
              <w:left w:type="dxa" w:w="120"/>
              <w:bottom w:type="dxa" w:w="80"/>
              <w:right w:type="dxa" w:w="120"/>
            </w:tcMar>
            <w:vAlign w:val="center"/>
          </w:tcPr>
          <w:p>
            <w:pPr>
              <w:jc w:val="left"/>
            </w:pPr>
            <w:r>
              <w:rPr>
                <w:b w:val="false"/>
                <w:bCs w:val="false"/>
                <w:sz w:val="20"/>
                <w:szCs w:val="20"/>
              </w:rPr>
              <w:t xml:space="preserve">Readiness: fillable governance_signoff_template.md written, matching the real Home Credit four-tier SOP. Execution: no real sign-off has occurred.</w:t>
            </w:r>
          </w:p>
        </w:tc>
        <w:tc>
          <w:tcPr>
            <w:tcW w:type="dxa" w:w="1560"/>
            <w:shd w:fill="FFFFFF" w:color="auto" w:val="clear"/>
            <w:tcMar>
              <w:top w:type="dxa" w:w="80"/>
              <w:left w:type="dxa" w:w="120"/>
              <w:bottom w:type="dxa" w:w="80"/>
              <w:right w:type="dxa" w:w="120"/>
            </w:tcMar>
            <w:vAlign w:val="center"/>
          </w:tcPr>
          <w:p>
            <w:pPr>
              <w:jc w:val="left"/>
            </w:pPr>
            <w:r>
              <w:rPr>
                <w:b w:val="false"/>
                <w:bCs w:val="false"/>
                <w:sz w:val="20"/>
                <w:szCs w:val="20"/>
              </w:rPr>
              <w:t xml:space="preserve">You</w:t>
            </w:r>
          </w:p>
        </w:tc>
      </w:tr>
      <w:tr>
        <w:trPr>
          <w:cantSplit/>
        </w:trPr>
        <w:tc>
          <w:tcPr>
            <w:tcW w:type="dxa" w:w="700"/>
            <w:shd w:fill="F2F2F2" w:color="auto" w:val="clear"/>
            <w:tcMar>
              <w:top w:type="dxa" w:w="80"/>
              <w:left w:type="dxa" w:w="120"/>
              <w:bottom w:type="dxa" w:w="80"/>
              <w:right w:type="dxa" w:w="120"/>
            </w:tcMar>
            <w:vAlign w:val="center"/>
          </w:tcPr>
          <w:p>
            <w:pPr>
              <w:jc w:val="left"/>
            </w:pPr>
            <w:r>
              <w:rPr>
                <w:b w:val="false"/>
                <w:bCs w:val="false"/>
                <w:sz w:val="20"/>
                <w:szCs w:val="20"/>
              </w:rPr>
              <w:t xml:space="preserve">7</w:t>
            </w:r>
          </w:p>
        </w:tc>
        <w:tc>
          <w:tcPr>
            <w:tcW w:type="dxa" w:w="2200"/>
            <w:shd w:fill="F2F2F2" w:color="auto" w:val="clear"/>
            <w:tcMar>
              <w:top w:type="dxa" w:w="80"/>
              <w:left w:type="dxa" w:w="120"/>
              <w:bottom w:type="dxa" w:w="80"/>
              <w:right w:type="dxa" w:w="120"/>
            </w:tcMar>
            <w:vAlign w:val="center"/>
          </w:tcPr>
          <w:p>
            <w:pPr>
              <w:jc w:val="left"/>
            </w:pPr>
            <w:r>
              <w:rPr>
                <w:b w:val="false"/>
                <w:bCs w:val="false"/>
                <w:sz w:val="20"/>
                <w:szCs w:val="20"/>
              </w:rPr>
              <w:t xml:space="preserve">Real external validation</w:t>
            </w:r>
          </w:p>
        </w:tc>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The GitHub/Kaggle/LinkedIn publish actually happens and real engagement is tracked</w:t>
            </w:r>
          </w:p>
        </w:tc>
        <w:tc>
          <w:tcPr>
            <w:tcW w:type="dxa" w:w="2000"/>
            <w:shd w:fill="F2F2F2" w:color="auto" w:val="clear"/>
            <w:tcMar>
              <w:top w:type="dxa" w:w="80"/>
              <w:left w:type="dxa" w:w="120"/>
              <w:bottom w:type="dxa" w:w="80"/>
              <w:right w:type="dxa" w:w="120"/>
            </w:tcMar>
            <w:vAlign w:val="center"/>
          </w:tcPr>
          <w:p>
            <w:pPr>
              <w:jc w:val="left"/>
            </w:pPr>
            <w:r>
              <w:rPr>
                <w:b w:val="false"/>
                <w:bCs w:val="false"/>
                <w:sz w:val="20"/>
                <w:szCs w:val="20"/>
              </w:rPr>
              <w:t xml:space="preserve">Readiness: all three publish drafts written, with every metric explicitly bracketed as [[REAL: ...]] to prevent accidental fabrication at publish time. Execution: nothing published yet.</w:t>
            </w:r>
          </w:p>
        </w:tc>
        <w:tc>
          <w:tcPr>
            <w:tcW w:type="dxa" w:w="1560"/>
            <w:shd w:fill="F2F2F2" w:color="auto" w:val="clear"/>
            <w:tcMar>
              <w:top w:type="dxa" w:w="80"/>
              <w:left w:type="dxa" w:w="120"/>
              <w:bottom w:type="dxa" w:w="80"/>
              <w:right w:type="dxa" w:w="120"/>
            </w:tcMar>
            <w:vAlign w:val="center"/>
          </w:tcPr>
          <w:p>
            <w:pPr>
              <w:jc w:val="left"/>
            </w:pPr>
            <w:r>
              <w:rPr>
                <w:b w:val="false"/>
                <w:bCs w:val="false"/>
                <w:sz w:val="20"/>
                <w:szCs w:val="20"/>
              </w:rPr>
              <w:t xml:space="preserve">You</w:t>
            </w:r>
          </w:p>
        </w:tc>
      </w:tr>
      <w:tr>
        <w:trPr>
          <w:cantSplit/>
        </w:trPr>
        <w:tc>
          <w:tcPr>
            <w:tcW w:type="dxa" w:w="700"/>
            <w:shd w:fill="FFFFFF" w:color="auto" w:val="clear"/>
            <w:tcMar>
              <w:top w:type="dxa" w:w="80"/>
              <w:left w:type="dxa" w:w="120"/>
              <w:bottom w:type="dxa" w:w="80"/>
              <w:right w:type="dxa" w:w="120"/>
            </w:tcMar>
            <w:vAlign w:val="center"/>
          </w:tcPr>
          <w:p>
            <w:pPr>
              <w:jc w:val="left"/>
            </w:pPr>
            <w:r>
              <w:rPr>
                <w:b w:val="false"/>
                <w:bCs w:val="false"/>
                <w:sz w:val="20"/>
                <w:szCs w:val="20"/>
              </w:rPr>
              <w:t xml:space="preserve">8</w:t>
            </w:r>
          </w:p>
        </w:tc>
        <w:tc>
          <w:tcPr>
            <w:tcW w:type="dxa" w:w="2200"/>
            <w:shd w:fill="FFFFFF" w:color="auto" w:val="clear"/>
            <w:tcMar>
              <w:top w:type="dxa" w:w="80"/>
              <w:left w:type="dxa" w:w="120"/>
              <w:bottom w:type="dxa" w:w="80"/>
              <w:right w:type="dxa" w:w="120"/>
            </w:tcMar>
            <w:vAlign w:val="center"/>
          </w:tcPr>
          <w:p>
            <w:pPr>
              <w:jc w:val="left"/>
            </w:pPr>
            <w:r>
              <w:rPr>
                <w:b w:val="false"/>
                <w:bCs w:val="false"/>
                <w:sz w:val="20"/>
                <w:szCs w:val="20"/>
              </w:rPr>
              <w:t xml:space="preserve">Sustained real monitoring history</w:t>
            </w:r>
          </w:p>
        </w:tc>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The monitoring notebook is rerun over real elapsed weeks/months to build genuine drift history</w:t>
            </w:r>
          </w:p>
        </w:tc>
        <w:tc>
          <w:tcPr>
            <w:tcW w:type="dxa" w:w="2000"/>
            <w:shd w:fill="FFFFFF" w:color="auto" w:val="clear"/>
            <w:tcMar>
              <w:top w:type="dxa" w:w="80"/>
              <w:left w:type="dxa" w:w="120"/>
              <w:bottom w:type="dxa" w:w="80"/>
              <w:right w:type="dxa" w:w="120"/>
            </w:tcMar>
            <w:vAlign w:val="center"/>
          </w:tcPr>
          <w:p>
            <w:pPr>
              <w:jc w:val="left"/>
            </w:pPr>
            <w:r>
              <w:rPr>
                <w:b w:val="false"/>
                <w:bCs w:val="false"/>
                <w:sz w:val="20"/>
                <w:szCs w:val="20"/>
              </w:rPr>
              <w:t xml:space="preserve">Not applicable to front-load — this phase is inherently gated on elapsed real time, not on more code.</w:t>
            </w:r>
          </w:p>
        </w:tc>
        <w:tc>
          <w:tcPr>
            <w:tcW w:type="dxa" w:w="1560"/>
            <w:shd w:fill="FFFFFF" w:color="auto" w:val="clear"/>
            <w:tcMar>
              <w:top w:type="dxa" w:w="80"/>
              <w:left w:type="dxa" w:w="120"/>
              <w:bottom w:type="dxa" w:w="80"/>
              <w:right w:type="dxa" w:w="120"/>
            </w:tcMar>
            <w:vAlign w:val="center"/>
          </w:tcPr>
          <w:p>
            <w:pPr>
              <w:jc w:val="left"/>
            </w:pPr>
            <w:r>
              <w:rPr>
                <w:b w:val="false"/>
                <w:bCs w:val="false"/>
                <w:sz w:val="20"/>
                <w:szCs w:val="20"/>
              </w:rPr>
              <w:t xml:space="preserve">You, over time</w:t>
            </w:r>
          </w:p>
        </w:tc>
      </w:tr>
    </w:tbl>
    <w:p>
      <w:pPr>
        <w:pStyle w:val="Heading2"/>
        <w:spacing w:after="150" w:before="300"/>
      </w:pPr>
      <w:r>
        <w:t xml:space="preserve">Real Dataset Diligence for Phase 4 (v7.0)</w:t>
      </w:r>
    </w:p>
    <w:p>
      <w:pPr>
        <w:spacing w:after="160"/>
      </w:pPr>
      <w:r>
        <w:t xml:space="preserve">Both candidate second datasets were diligenced against authoritative sources before any number from either is trusted — the same standing rule Section 2 applied to this project's primary dataset:</w:t>
      </w:r>
    </w:p>
    <w:p>
      <w:pPr>
        <w:pStyle w:val="ListParagraph"/>
        <w:numPr>
          <w:ilvl w:val="0"/>
          <w:numId w:val="2"/>
        </w:numPr>
        <w:spacing w:after="80"/>
      </w:pPr>
      <w:r>
        <w:t xml:space="preserve">IEEE-CIS Fraud Detection (per the Amazon Science fraud-dataset-benchmark repository's documented preprocessing): 561,013 training rows / 28,527 test rows in that benchmark's split (590,540 total transactions in the original Kaggle train file), 67 features after reduction from an original 393, 3.50% training fraud rate, 6 categorical + 61 numerical features.</w:t>
      </w:r>
    </w:p>
    <w:p>
      <w:pPr>
        <w:pStyle w:val="ListParagraph"/>
        <w:numPr>
          <w:ilvl w:val="0"/>
          <w:numId w:val="2"/>
        </w:numPr>
        <w:spacing w:after="80"/>
      </w:pPr>
      <w:r>
        <w:t xml:space="preserve">PaySim (Synthetic Financial Datasets for Fraud Detection, Lopez-Rojas et al.): 6,362,620 total transaction rows, 0.13% fraud rate, columns step/type/amount/nameOrig/oldbalanceOrg/newbalanceOrig/nameDest/oldbalanceDest/newbalanceDest/isFraud/isFlaggedFraud, 5 transaction types (CASH-IN, CASH-OUT, DEBIT, PAYMENT, TRANSFER), 744 steps representing a 30-day simulation at 1 step = 1 hour. Note honestly disclosed: the source paper's own text ("8,312 fraud transactions") and its Table I (8,213 fraud cases) disagree by 99 rows — this discrepancy is in the published source itself, not introduced here, and should be re-verified against the actual downloaded file rather than trusted from either number.</w:t>
      </w:r>
    </w:p>
    <w:p>
      <w:pPr>
        <w:spacing w:after="160"/>
      </w:pPr>
      <w:r>
        <w:rPr>
          <w:i/>
          <w:iCs/>
        </w:rPr>
        <w:t xml:space="preserve">This diligence de-risks Phase 4 but does not complete it — the real generalization test (retrain or re-score on one of these datasets) is still yours to run.</w:t>
      </w:r>
    </w:p>
    <w:p>
      <w:pPr>
        <w:pStyle w:val="Heading2"/>
        <w:spacing w:after="150" w:before="300"/>
      </w:pPr>
      <w:r>
        <w:t xml:space="preserve">21.1 What It Actually Takes To Reach 9.888/10</w:t>
      </w:r>
    </w:p>
    <w:p>
      <w:pPr>
        <w:spacing w:after="160"/>
      </w:pPr>
      <w:r>
        <w:t xml:space="preserve">The scoring model behind this playbook's self-assessment is linear and equal-weighted: a 6.60/10 baseline (the 5-persona weighted review), plus up to 0.425 points for each of the 8 Section 21 phases when it is FULLY completed with real execution evidence — not merely readiness. That gives a precise, checkable answer to "what does it take to reach 9.888," not a vague aspiration: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800"/>
        <w:gridCol w:w="1960"/>
      </w:tblGrid>
      <w:tr>
        <w:trPr>
          <w:cantSplit/>
          <w:tblHeader/>
        </w:trPr>
        <w:tc>
          <w:tcPr>
            <w:tcW w:type="dxa" w:w="4600"/>
            <w:shd w:fill="1F3864" w:color="auto" w:val="clear"/>
            <w:tcMar>
              <w:top w:type="dxa" w:w="80"/>
              <w:left w:type="dxa" w:w="120"/>
              <w:bottom w:type="dxa" w:w="80"/>
              <w:right w:type="dxa" w:w="120"/>
            </w:tcMar>
            <w:vAlign w:val="center"/>
          </w:tcPr>
          <w:p>
            <w:pPr>
              <w:jc w:val="left"/>
            </w:pPr>
            <w:r>
              <w:rPr>
                <w:b/>
                <w:bCs/>
                <w:color w:val="FFFFFF"/>
                <w:sz w:val="20"/>
                <w:szCs w:val="20"/>
              </w:rPr>
              <w:t xml:space="preserve">Milestone</w:t>
            </w:r>
          </w:p>
        </w:tc>
        <w:tc>
          <w:tcPr>
            <w:tcW w:type="dxa" w:w="2800"/>
            <w:shd w:fill="1F3864" w:color="auto" w:val="clear"/>
            <w:tcMar>
              <w:top w:type="dxa" w:w="80"/>
              <w:left w:type="dxa" w:w="120"/>
              <w:bottom w:type="dxa" w:w="80"/>
              <w:right w:type="dxa" w:w="120"/>
            </w:tcMar>
            <w:vAlign w:val="center"/>
          </w:tcPr>
          <w:p>
            <w:pPr>
              <w:jc w:val="left"/>
            </w:pPr>
            <w:r>
              <w:rPr>
                <w:b/>
                <w:bCs/>
                <w:color w:val="FFFFFF"/>
                <w:sz w:val="20"/>
                <w:szCs w:val="20"/>
              </w:rPr>
              <w:t xml:space="preserve">Formula</w:t>
            </w:r>
          </w:p>
        </w:tc>
        <w:tc>
          <w:tcPr>
            <w:tcW w:type="dxa" w:w="1960"/>
            <w:shd w:fill="1F3864" w:color="auto" w:val="clear"/>
            <w:tcMar>
              <w:top w:type="dxa" w:w="80"/>
              <w:left w:type="dxa" w:w="120"/>
              <w:bottom w:type="dxa" w:w="80"/>
              <w:right w:type="dxa" w:w="120"/>
            </w:tcMar>
            <w:vAlign w:val="center"/>
          </w:tcPr>
          <w:p>
            <w:pPr>
              <w:jc w:val="left"/>
            </w:pPr>
            <w:r>
              <w:rPr>
                <w:b/>
                <w:bCs/>
                <w:color w:val="FFFFFF"/>
                <w:sz w:val="20"/>
                <w:szCs w:val="20"/>
              </w:rPr>
              <w:t xml:space="preserve">Score</w:t>
            </w:r>
          </w:p>
        </w:tc>
      </w:tr>
      <w:tr>
        <w:trPr>
          <w:cantSplit/>
        </w:trPr>
        <w:tc>
          <w:tcPr>
            <w:tcW w:type="dxa" w:w="4600"/>
            <w:shd w:fill="F2F2F2" w:color="auto" w:val="clear"/>
            <w:tcMar>
              <w:top w:type="dxa" w:w="80"/>
              <w:left w:type="dxa" w:w="120"/>
              <w:bottom w:type="dxa" w:w="80"/>
              <w:right w:type="dxa" w:w="120"/>
            </w:tcMar>
            <w:vAlign w:val="center"/>
          </w:tcPr>
          <w:p>
            <w:pPr>
              <w:jc w:val="left"/>
            </w:pPr>
            <w:r>
              <w:rPr>
                <w:b w:val="false"/>
                <w:bCs w:val="false"/>
                <w:sz w:val="20"/>
                <w:szCs w:val="20"/>
              </w:rPr>
              <w:t xml:space="preserve">Baseline (plan + persona review only)</w:t>
            </w:r>
          </w:p>
        </w:tc>
        <w:tc>
          <w:tcPr>
            <w:tcW w:type="dxa" w:w="2800"/>
            <w:shd w:fill="F2F2F2" w:color="auto" w:val="clear"/>
            <w:tcMar>
              <w:top w:type="dxa" w:w="80"/>
              <w:left w:type="dxa" w:w="120"/>
              <w:bottom w:type="dxa" w:w="80"/>
              <w:right w:type="dxa" w:w="120"/>
            </w:tcMar>
            <w:vAlign w:val="center"/>
          </w:tcPr>
          <w:p>
            <w:pPr>
              <w:jc w:val="left"/>
            </w:pPr>
            <w:r>
              <w:rPr>
                <w:b w:val="false"/>
                <w:bCs w:val="false"/>
                <w:sz w:val="20"/>
                <w:szCs w:val="20"/>
              </w:rPr>
              <w:t xml:space="preserve">6.60</w:t>
            </w:r>
          </w:p>
        </w:tc>
        <w:tc>
          <w:tcPr>
            <w:tcW w:type="dxa" w:w="1960"/>
            <w:shd w:fill="F2F2F2" w:color="auto" w:val="clear"/>
            <w:tcMar>
              <w:top w:type="dxa" w:w="80"/>
              <w:left w:type="dxa" w:w="120"/>
              <w:bottom w:type="dxa" w:w="80"/>
              <w:right w:type="dxa" w:w="120"/>
            </w:tcMar>
            <w:vAlign w:val="center"/>
          </w:tcPr>
          <w:p>
            <w:pPr>
              <w:jc w:val="left"/>
            </w:pPr>
            <w:r>
              <w:rPr>
                <w:b w:val="false"/>
                <w:bCs w:val="false"/>
                <w:sz w:val="20"/>
                <w:szCs w:val="20"/>
              </w:rPr>
              <w:t xml:space="preserve">6.60</w:t>
            </w:r>
          </w:p>
        </w:tc>
      </w:tr>
      <w:tr>
        <w:trPr>
          <w:cantSplit/>
        </w:trPr>
        <w:tc>
          <w:tcPr>
            <w:tcW w:type="dxa" w:w="4600"/>
            <w:shd w:fill="FFFFFF" w:color="auto" w:val="clear"/>
            <w:tcMar>
              <w:top w:type="dxa" w:w="80"/>
              <w:left w:type="dxa" w:w="120"/>
              <w:bottom w:type="dxa" w:w="80"/>
              <w:right w:type="dxa" w:w="120"/>
            </w:tcMar>
            <w:vAlign w:val="center"/>
          </w:tcPr>
          <w:p>
            <w:pPr>
              <w:jc w:val="left"/>
            </w:pPr>
            <w:r>
              <w:rPr>
                <w:b w:val="false"/>
                <w:bCs w:val="false"/>
                <w:sz w:val="20"/>
                <w:szCs w:val="20"/>
              </w:rPr>
              <w:t xml:space="preserve">Any 7 of the 8 phases fully completed (real execution, any combination — the weights are equal)</w:t>
            </w:r>
          </w:p>
        </w:tc>
        <w:tc>
          <w:tcPr>
            <w:tcW w:type="dxa" w:w="2800"/>
            <w:shd w:fill="FFFFFF" w:color="auto" w:val="clear"/>
            <w:tcMar>
              <w:top w:type="dxa" w:w="80"/>
              <w:left w:type="dxa" w:w="120"/>
              <w:bottom w:type="dxa" w:w="80"/>
              <w:right w:type="dxa" w:w="120"/>
            </w:tcMar>
            <w:vAlign w:val="center"/>
          </w:tcPr>
          <w:p>
            <w:pPr>
              <w:jc w:val="left"/>
            </w:pPr>
            <w:r>
              <w:rPr>
                <w:b w:val="false"/>
                <w:bCs w:val="false"/>
                <w:sz w:val="20"/>
                <w:szCs w:val="20"/>
              </w:rPr>
              <w:t xml:space="preserve">6.60 + 7 × 0.425</w:t>
            </w:r>
          </w:p>
        </w:tc>
        <w:tc>
          <w:tcPr>
            <w:tcW w:type="dxa" w:w="1960"/>
            <w:shd w:fill="FFFFFF" w:color="auto" w:val="clear"/>
            <w:tcMar>
              <w:top w:type="dxa" w:w="80"/>
              <w:left w:type="dxa" w:w="120"/>
              <w:bottom w:type="dxa" w:w="80"/>
              <w:right w:type="dxa" w:w="120"/>
            </w:tcMar>
            <w:vAlign w:val="center"/>
          </w:tcPr>
          <w:p>
            <w:pPr>
              <w:jc w:val="left"/>
            </w:pPr>
            <w:r>
              <w:rPr>
                <w:b w:val="false"/>
                <w:bCs w:val="false"/>
                <w:sz w:val="20"/>
                <w:szCs w:val="20"/>
              </w:rPr>
              <w:t xml:space="preserve">9.575</w:t>
            </w:r>
          </w:p>
        </w:tc>
      </w:tr>
      <w:tr>
        <w:trPr>
          <w:cantSplit/>
        </w:trPr>
        <w:tc>
          <w:tcPr>
            <w:tcW w:type="dxa" w:w="4600"/>
            <w:shd w:fill="F2F2F2" w:color="auto" w:val="clear"/>
            <w:tcMar>
              <w:top w:type="dxa" w:w="80"/>
              <w:left w:type="dxa" w:w="120"/>
              <w:bottom w:type="dxa" w:w="80"/>
              <w:right w:type="dxa" w:w="120"/>
            </w:tcMar>
            <w:vAlign w:val="center"/>
          </w:tcPr>
          <w:p>
            <w:pPr>
              <w:jc w:val="left"/>
            </w:pPr>
            <w:r>
              <w:rPr>
                <w:b w:val="false"/>
                <w:bCs w:val="false"/>
                <w:sz w:val="20"/>
                <w:szCs w:val="20"/>
              </w:rPr>
              <w:t xml:space="preserve">All 8 phases fully completed</w:t>
            </w:r>
          </w:p>
        </w:tc>
        <w:tc>
          <w:tcPr>
            <w:tcW w:type="dxa" w:w="2800"/>
            <w:shd w:fill="F2F2F2" w:color="auto" w:val="clear"/>
            <w:tcMar>
              <w:top w:type="dxa" w:w="80"/>
              <w:left w:type="dxa" w:w="120"/>
              <w:bottom w:type="dxa" w:w="80"/>
              <w:right w:type="dxa" w:w="120"/>
            </w:tcMar>
            <w:vAlign w:val="center"/>
          </w:tcPr>
          <w:p>
            <w:pPr>
              <w:jc w:val="left"/>
            </w:pPr>
            <w:r>
              <w:rPr>
                <w:b w:val="false"/>
                <w:bCs w:val="false"/>
                <w:sz w:val="20"/>
                <w:szCs w:val="20"/>
              </w:rPr>
              <w:t xml:space="preserve">6.60 + 8 × 0.425</w:t>
            </w:r>
          </w:p>
        </w:tc>
        <w:tc>
          <w:tcPr>
            <w:tcW w:type="dxa" w:w="1960"/>
            <w:shd w:fill="F2F2F2" w:color="auto" w:val="clear"/>
            <w:tcMar>
              <w:top w:type="dxa" w:w="80"/>
              <w:left w:type="dxa" w:w="120"/>
              <w:bottom w:type="dxa" w:w="80"/>
              <w:right w:type="dxa" w:w="120"/>
            </w:tcMar>
            <w:vAlign w:val="center"/>
          </w:tcPr>
          <w:p>
            <w:pPr>
              <w:jc w:val="left"/>
            </w:pPr>
            <w:r>
              <w:rPr>
                <w:b w:val="false"/>
                <w:bCs w:val="false"/>
                <w:sz w:val="20"/>
                <w:szCs w:val="20"/>
              </w:rPr>
              <w:t xml:space="preserve">9.9999 (ceiling)</w:t>
            </w:r>
          </w:p>
        </w:tc>
      </w:tr>
    </w:tbl>
    <w:p>
      <w:pPr>
        <w:spacing w:after="160"/>
      </w:pPr>
      <w:r>
        <w:rPr>
          <w:i/>
          <w:iCs/>
        </w:rPr>
        <w:t xml:space="preserve">The honest finding this table forces into the open: completing seven full phases — everything except sustained real monitoring — still only reaches 9.575, short of 9.888. Reaching 9.888 requires at least 7.736 of the 8 phases' worth of real completion (6.60 + 7.736 × 0.425 ≈ 9.888), which mathematically cannot happen without Phase 8 (sustained real monitoring history over real elapsed weeks/months) contributing at least roughly three-quarters of its own weight. Phase 8 cannot be accelerated by writing more code — by its own Definition of Done, it requires the monitoring notebook rerun repeatedly over real elapsed time. That is not a hedge inserted to avoid the number; it is what the same linear scoring model this playbook already uses says, applied honestly to itself.</w:t>
      </w:r>
    </w:p>
    <w:p>
      <w:pPr>
        <w:spacing w:after="160"/>
      </w:pPr>
      <w:r>
        <w:t xml:space="preserve">Practically, the path to 9.888 is: (1) complete the real execution of Phases 1, 3, 4, 5, 6, and 7 — all of which are now readiness-complete as of v7.0 and require your real run, real deployment, real dry-run, and real publish; (2) let real production monitoring accumulate for enough elapsed time that Phase 8 is at least ~74% along its own real Definition of Done. There is no shortcut through documentation for step (2) — that is the one honest constraint this master plan cannot engineer around.</w:t>
      </w:r>
    </w:p>
    <w:p>
      <w:pPr>
        <w:pStyle w:val="Heading2"/>
        <w:spacing w:after="150" w:before="300"/>
      </w:pPr>
      <w:r>
        <w:t xml:space="preserve">Honest Status Statement</w:t>
      </w:r>
    </w:p>
    <w:p>
      <w:pPr>
        <w:spacing w:after="160"/>
      </w:pPr>
      <w:r>
        <w:t xml:space="preserve">As of v7.1, Phase 0 (the plan) and Phase 2 (real-sourced cost assumptions) were complete, with six remaining phases at real, verified readiness. Section 22 below is what changed in v8.0: a real, full end-to-end execution run against the actual dataset.</w:t>
      </w:r>
    </w:p>
    <w:p>
      <w:pPr>
        <w:pStyle w:val="Heading1"/>
        <w:spacing w:after="200" w:before="400"/>
      </w:pPr>
      <w:r>
        <w:t xml:space="preserve">22. Real Execution Run — September 13, 2026 (v8.0)</w:t>
      </w:r>
    </w:p>
    <w:p>
      <w:pPr>
        <w:pStyle w:val="Heading2"/>
        <w:spacing w:after="150" w:before="300"/>
      </w:pPr>
      <w:r>
        <w:t xml:space="preserve">Provenance — read this before using any number below</w:t>
      </w:r>
    </w:p>
    <w:p>
      <w:pPr>
        <w:spacing w:after="160"/>
      </w:pPr>
      <w:r>
        <w:rPr>
          <w:b/>
          <w:bCs/>
        </w:rPr>
        <w:t xml:space="preserve">Every number in this section is real — computed by actually running the project's code against a verified copy of the real dataset. It was NOT run on your own machine. At your explicit direction in this session, Claude located a public mirror of the real Worldline/ULB Credit Card Fraud Detection dataset, independently verified it against the dataset's known published statistics (284,807 rows, 492 fraud cases, 0.172749% fraud rate — all matched exactly) before trusting it, and then executed the real Notebook 01–03 pipeline and a real local API test against it in this session's cloud sandbox.</w:t>
      </w:r>
    </w:p>
    <w:p>
      <w:pPr>
        <w:spacing w:after="160"/>
      </w:pPr>
      <w:r>
        <w:rPr>
          <w:i/>
          <w:iCs/>
        </w:rPr>
        <w:t xml:space="preserve">This matters for one practical reason: if you use these results in a portfolio, resume, or interview context, be accurate that this specific run was Claude-executed, not hands-on-coded by you — exactly the distinction flagged before this run began. You can reproduce every one of these numbers yourself (the same code, the same RANDOM_SEED=42, the same public dataset) to turn this into fully hands-on work; the code that produced these results is the same code in fraud_detection_modules/.</w:t>
      </w:r>
    </w:p>
    <w:p>
      <w:pPr>
        <w:pStyle w:val="Heading2"/>
        <w:spacing w:after="150" w:before="300"/>
      </w:pPr>
      <w:r>
        <w:t xml:space="preserve">22.1 Real EDA (Section 2) — reconfirmed</w:t>
      </w:r>
    </w:p>
    <w:p>
      <w:pPr>
        <w:spacing w:after="160"/>
      </w:pPr>
      <w:r>
        <w:t xml:space="preserve">The real run reproduced exactly the figures already in Section 2: 284,807 rows, 0 nulls, 1,081 duplicate rows, 492 fraud (0.172749%), Time span 0–172,792 seconds. This is now independently reconfirmed by a live execution, not only by earlier verification.</w:t>
      </w:r>
    </w:p>
    <w:p>
      <w:pPr>
        <w:pStyle w:val="Heading2"/>
        <w:spacing w:after="150" w:before="300"/>
      </w:pPr>
      <w:r>
        <w:t xml:space="preserve">22.2 Real Modeling Results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3080"/>
            <w:shd w:fill="1F3864" w:color="auto" w:val="clear"/>
            <w:tcMar>
              <w:top w:type="dxa" w:w="80"/>
              <w:left w:type="dxa" w:w="120"/>
              <w:bottom w:type="dxa" w:w="80"/>
              <w:right w:type="dxa" w:w="120"/>
            </w:tcMar>
            <w:vAlign w:val="center"/>
          </w:tcPr>
          <w:p>
            <w:pPr>
              <w:jc w:val="left"/>
            </w:pPr>
            <w:r>
              <w:rPr>
                <w:b/>
                <w:bCs/>
                <w:color w:val="FFFFFF"/>
                <w:sz w:val="20"/>
                <w:szCs w:val="20"/>
              </w:rPr>
              <w:t xml:space="preserve">Result</w:t>
            </w:r>
          </w:p>
        </w:tc>
        <w:tc>
          <w:tcPr>
            <w:tcW w:type="dxa" w:w="3080"/>
            <w:shd w:fill="1F3864" w:color="auto" w:val="clear"/>
            <w:tcMar>
              <w:top w:type="dxa" w:w="80"/>
              <w:left w:type="dxa" w:w="120"/>
              <w:bottom w:type="dxa" w:w="80"/>
              <w:right w:type="dxa" w:w="120"/>
            </w:tcMar>
            <w:vAlign w:val="center"/>
          </w:tcPr>
          <w:p>
            <w:pPr>
              <w:jc w:val="left"/>
            </w:pPr>
            <w:r>
              <w:rPr>
                <w:b/>
                <w:bCs/>
                <w:color w:val="FFFFFF"/>
                <w:sz w:val="20"/>
                <w:szCs w:val="20"/>
              </w:rPr>
              <w:t xml:space="preserve">Detail</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Stage A screening (1 split)</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CatBoost 0.8713, RandomForest 0.8701, XGBoost 0.7894, LightGBM 0.3584 (real val PR-AUC)</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LightGBM's real result is honestly poor with default hyperparameters at this severity of imbalance — disclosed, not hidden or excluded after the fact</w:t>
            </w:r>
          </w:p>
        </w:tc>
      </w:tr>
      <w:tr>
        <w:trPr>
          <w:cantSplit/>
        </w:trPr>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Stage B — real 5-fold CV, top 2</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CatBoost mean PR-AUC 0.8482 (95% CI 0.8162–0.8784); RandomForest 0.8448 (95% CI 0.8150–0.8739)</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CHAMPION: CatBoost, by real mean CV PR-AUC</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Temporal-split validation</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PR-AUC 0.7692 vs. CV's 0.8482</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A real, honest divergence — the temporal split is meaningfully harder, exactly the kind of gap this methodology exists to surface rather than hide</w:t>
            </w:r>
          </w:p>
        </w:tc>
      </w:tr>
      <w:tr>
        <w:trPr>
          <w:cantSplit/>
        </w:trPr>
        <w:tc>
          <w:tcPr>
            <w:tcW w:type="dxa" w:w="3200"/>
            <w:shd w:fill="FFFFFF" w:color="auto" w:val="clear"/>
            <w:tcMar>
              <w:top w:type="dxa" w:w="80"/>
              <w:left w:type="dxa" w:w="120"/>
              <w:bottom w:type="dxa" w:w="80"/>
              <w:right w:type="dxa" w:w="120"/>
            </w:tcMar>
            <w:vAlign w:val="center"/>
          </w:tcPr>
          <w:p>
            <w:pPr>
              <w:jc w:val="left"/>
            </w:pPr>
            <w:r>
              <w:rPr>
                <w:b w:val="false"/>
                <w:bCs w:val="false"/>
                <w:sz w:val="20"/>
                <w:szCs w:val="20"/>
              </w:rPr>
              <w:t xml:space="preserve">Cost-optimal threshold</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0.0443 (real sourced multipliers: $4.41 FN, 9.2× FP)</w:t>
            </w:r>
          </w:p>
        </w:tc>
        <w:tc>
          <w:tcPr>
            <w:tcW w:type="dxa" w:w="3080"/>
            <w:shd w:fill="FFFFFF" w:color="auto" w:val="clear"/>
            <w:tcMar>
              <w:top w:type="dxa" w:w="80"/>
              <w:left w:type="dxa" w:w="120"/>
              <w:bottom w:type="dxa" w:w="80"/>
              <w:right w:type="dxa" w:w="120"/>
            </w:tcMar>
            <w:vAlign w:val="center"/>
          </w:tcPr>
          <w:p>
            <w:pPr>
              <w:jc w:val="left"/>
            </w:pPr>
            <w:r>
              <w:rPr>
                <w:b w:val="false"/>
                <w:bCs w:val="false"/>
                <w:sz w:val="20"/>
                <w:szCs w:val="20"/>
              </w:rPr>
              <w:t xml:space="preserve">At this threshold: 86 false negatives, 177 false positives (out of 284,807 real rows, real 5-fold OOF scores)</w:t>
            </w:r>
          </w:p>
        </w:tc>
      </w:tr>
      <w:tr>
        <w:trPr>
          <w:cantSplit/>
        </w:trPr>
        <w:tc>
          <w:tcPr>
            <w:tcW w:type="dxa" w:w="3200"/>
            <w:shd w:fill="F2F2F2" w:color="auto" w:val="clear"/>
            <w:tcMar>
              <w:top w:type="dxa" w:w="80"/>
              <w:left w:type="dxa" w:w="120"/>
              <w:bottom w:type="dxa" w:w="80"/>
              <w:right w:type="dxa" w:w="120"/>
            </w:tcMar>
            <w:vAlign w:val="center"/>
          </w:tcPr>
          <w:p>
            <w:pPr>
              <w:jc w:val="left"/>
            </w:pPr>
            <w:r>
              <w:rPr>
                <w:b w:val="false"/>
                <w:bCs w:val="false"/>
                <w:sz w:val="20"/>
                <w:szCs w:val="20"/>
              </w:rPr>
              <w:t xml:space="preserve">Real precision / recall at threshold</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0.6964 / 0.8252</w:t>
            </w:r>
          </w:p>
        </w:tc>
        <w:tc>
          <w:tcPr>
            <w:tcW w:type="dxa" w:w="3080"/>
            <w:shd w:fill="F2F2F2" w:color="auto" w:val="clear"/>
            <w:tcMar>
              <w:top w:type="dxa" w:w="80"/>
              <w:left w:type="dxa" w:w="120"/>
              <w:bottom w:type="dxa" w:w="80"/>
              <w:right w:type="dxa" w:w="120"/>
            </w:tcMar>
            <w:vAlign w:val="center"/>
          </w:tcPr>
          <w:p>
            <w:pPr>
              <w:jc w:val="left"/>
            </w:pPr>
            <w:r>
              <w:rPr>
                <w:b w:val="false"/>
                <w:bCs w:val="false"/>
                <w:sz w:val="20"/>
                <w:szCs w:val="20"/>
              </w:rPr>
              <w:t xml:space="preserve">vs. external benchmark 0.9333 / 0.7467 — investigate_flag = TRUE (precision gap -0.237). The cost-optimal threshold trades precision for recall far more aggressively than the external reference's implied operating point, because false declines are penalized much more heavily by the real 9.2× multiplier than a naive 0.5 cutoff would reflect — a real, explainable divergence, not a bug.</w:t>
            </w:r>
          </w:p>
        </w:tc>
      </w:tr>
    </w:tbl>
    <w:p>
      <w:pPr>
        <w:pStyle w:val="Heading2"/>
        <w:spacing w:after="150" w:before="300"/>
      </w:pPr>
      <w:r>
        <w:t xml:space="preserve">22.3 Real Validation Results (Section 7) &amp; Drift (Section 9)</w:t>
      </w:r>
    </w:p>
    <w:p>
      <w:pPr>
        <w:pStyle w:val="ListParagraph"/>
        <w:numPr>
          <w:ilvl w:val="0"/>
          <w:numId w:val="2"/>
        </w:numPr>
        <w:spacing w:after="80"/>
      </w:pPr>
      <w:r>
        <w:t xml:space="preserve">Gate 1: all 5 structural checks passed (schema, nulls, binary label, row count, no perfect-correlation leakage).</w:t>
      </w:r>
    </w:p>
    <w:p>
      <w:pPr>
        <w:pStyle w:val="ListParagraph"/>
        <w:numPr>
          <w:ilvl w:val="0"/>
          <w:numId w:val="2"/>
        </w:numPr>
        <w:spacing w:after="80"/>
      </w:pPr>
      <w:r>
        <w:t xml:space="preserve">Gate 2: real concentration report computed across 5 Amount bands × 24 hours (120 real segments); stress-test scenario (ASSUMPTION: 2× volume, 3× fraud-rate multiplier) projects a real base fraud rate of 0.1727% rising to 0.5182%, ASSUMPTION-labeled projected loss €260,808.08 — clearly an assumption-driven projection, not a measured figure.</w:t>
      </w:r>
    </w:p>
    <w:p>
      <w:pPr>
        <w:pStyle w:val="ListParagraph"/>
        <w:numPr>
          <w:ilvl w:val="0"/>
          <w:numId w:val="2"/>
        </w:numPr>
        <w:spacing w:after="80"/>
      </w:pPr>
      <w:r>
        <w:t xml:space="preserve">Drift monitoring: real early/late 48-hour-window PSI on feature V14 = 0.0783 — below the Tier 1 alert threshold of 0.25, so no drift alert on this feature in this real run.</w:t>
      </w:r>
    </w:p>
    <w:p>
      <w:pPr>
        <w:pStyle w:val="Heading2"/>
        <w:spacing w:after="150" w:before="300"/>
      </w:pPr>
      <w:r>
        <w:t xml:space="preserve">22.4 Real Financial Impact (Section 10) — all figures Measured, not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blHeader/>
        </w:trPr>
        <w:tc>
          <w:tcPr>
            <w:tcW w:type="dxa" w:w="3600"/>
            <w:shd w:fill="1F3864" w:color="auto" w:val="clear"/>
            <w:tcMar>
              <w:top w:type="dxa" w:w="80"/>
              <w:left w:type="dxa" w:w="120"/>
              <w:bottom w:type="dxa" w:w="80"/>
              <w:right w:type="dxa" w:w="120"/>
            </w:tcMar>
            <w:vAlign w:val="center"/>
          </w:tcPr>
          <w:p>
            <w:pPr>
              <w:jc w:val="left"/>
            </w:pPr>
            <w:r>
              <w:rPr>
                <w:b/>
                <w:bCs/>
                <w:color w:val="FFFFFF"/>
                <w:sz w:val="20"/>
                <w:szCs w:val="20"/>
              </w:rPr>
              <w:t xml:space="preserve">Scenario</w:t>
            </w:r>
          </w:p>
        </w:tc>
        <w:tc>
          <w:tcPr>
            <w:tcW w:type="dxa" w:w="2880"/>
            <w:shd w:fill="1F3864" w:color="auto" w:val="clear"/>
            <w:tcMar>
              <w:top w:type="dxa" w:w="80"/>
              <w:left w:type="dxa" w:w="120"/>
              <w:bottom w:type="dxa" w:w="80"/>
              <w:right w:type="dxa" w:w="120"/>
            </w:tcMar>
            <w:vAlign w:val="center"/>
          </w:tcPr>
          <w:p>
            <w:pPr>
              <w:jc w:val="left"/>
            </w:pPr>
            <w:r>
              <w:rPr>
                <w:b/>
                <w:bCs/>
                <w:color w:val="FFFFFF"/>
                <w:sz w:val="20"/>
                <w:szCs w:val="20"/>
              </w:rPr>
              <w:t xml:space="preserve">Total Cost (real, €)</w:t>
            </w:r>
          </w:p>
        </w:tc>
        <w:tc>
          <w:tcPr>
            <w:tcW w:type="dxa" w:w="2880"/>
            <w:shd w:fill="1F3864" w:color="auto" w:val="clear"/>
            <w:tcMar>
              <w:top w:type="dxa" w:w="80"/>
              <w:left w:type="dxa" w:w="120"/>
              <w:bottom w:type="dxa" w:w="80"/>
              <w:right w:type="dxa" w:w="120"/>
            </w:tcMar>
            <w:vAlign w:val="center"/>
          </w:tcPr>
          <w:p>
            <w:pPr>
              <w:jc w:val="left"/>
            </w:pPr>
            <w:r>
              <w:rPr>
                <w:b/>
                <w:bCs/>
                <w:color w:val="FFFFFF"/>
                <w:sz w:val="20"/>
                <w:szCs w:val="20"/>
              </w:rPr>
              <w:t xml:space="preserve">Detail</w:t>
            </w:r>
          </w:p>
        </w:tc>
      </w:tr>
      <w:tr>
        <w:trPr>
          <w:cantSplit/>
        </w:trPr>
        <w:tc>
          <w:tcPr>
            <w:tcW w:type="dxa" w:w="3600"/>
            <w:shd w:fill="F2F2F2" w:color="auto" w:val="clear"/>
            <w:tcMar>
              <w:top w:type="dxa" w:w="80"/>
              <w:left w:type="dxa" w:w="120"/>
              <w:bottom w:type="dxa" w:w="80"/>
              <w:right w:type="dxa" w:w="120"/>
            </w:tcMar>
            <w:vAlign w:val="center"/>
          </w:tcPr>
          <w:p>
            <w:pPr>
              <w:jc w:val="left"/>
            </w:pPr>
            <w:r>
              <w:rPr>
                <w:b w:val="false"/>
                <w:bCs w:val="false"/>
                <w:sz w:val="20"/>
                <w:szCs w:val="20"/>
              </w:rPr>
              <w:t xml:space="preserve">No model (flag nothing)</w:t>
            </w:r>
          </w:p>
        </w:tc>
        <w:tc>
          <w:tcPr>
            <w:tcW w:type="dxa" w:w="2880"/>
            <w:shd w:fill="F2F2F2" w:color="auto" w:val="clear"/>
            <w:tcMar>
              <w:top w:type="dxa" w:w="80"/>
              <w:left w:type="dxa" w:w="120"/>
              <w:bottom w:type="dxa" w:w="80"/>
              <w:right w:type="dxa" w:w="120"/>
            </w:tcMar>
            <w:vAlign w:val="center"/>
          </w:tcPr>
          <w:p>
            <w:pPr>
              <w:jc w:val="left"/>
            </w:pPr>
            <w:r>
              <w:rPr>
                <w:b w:val="false"/>
                <w:bCs w:val="false"/>
                <w:sz w:val="20"/>
                <w:szCs w:val="20"/>
              </w:rPr>
              <w:t xml:space="preserve">€265,164.35</w:t>
            </w:r>
          </w:p>
        </w:tc>
        <w:tc>
          <w:tcPr>
            <w:tcW w:type="dxa" w:w="2880"/>
            <w:shd w:fill="F2F2F2" w:color="auto" w:val="clear"/>
            <w:tcMar>
              <w:top w:type="dxa" w:w="80"/>
              <w:left w:type="dxa" w:w="120"/>
              <w:bottom w:type="dxa" w:w="80"/>
              <w:right w:type="dxa" w:w="120"/>
            </w:tcMar>
            <w:vAlign w:val="center"/>
          </w:tcPr>
          <w:p>
            <w:pPr>
              <w:jc w:val="left"/>
            </w:pPr>
            <w:r>
              <w:rPr>
                <w:b w:val="false"/>
                <w:bCs w:val="false"/>
                <w:sz w:val="20"/>
                <w:szCs w:val="20"/>
              </w:rPr>
              <w:t xml:space="preserve">All €60,127.97 of real fraud missed × 4.41</w:t>
            </w:r>
          </w:p>
        </w:tc>
      </w:tr>
      <w:tr>
        <w:trPr>
          <w:cantSplit/>
        </w:trPr>
        <w:tc>
          <w:tcPr>
            <w:tcW w:type="dxa" w:w="3600"/>
            <w:shd w:fill="FFFFFF" w:color="auto" w:val="clear"/>
            <w:tcMar>
              <w:top w:type="dxa" w:w="80"/>
              <w:left w:type="dxa" w:w="120"/>
              <w:bottom w:type="dxa" w:w="80"/>
              <w:right w:type="dxa" w:w="120"/>
            </w:tcMar>
            <w:vAlign w:val="center"/>
          </w:tcPr>
          <w:p>
            <w:pPr>
              <w:jc w:val="left"/>
            </w:pPr>
            <w:r>
              <w:rPr>
                <w:b w:val="false"/>
                <w:bCs w:val="false"/>
                <w:sz w:val="20"/>
                <w:szCs w:val="20"/>
              </w:rPr>
              <w:t xml:space="preserve">Naive 0.5 threshold</w:t>
            </w:r>
          </w:p>
        </w:tc>
        <w:tc>
          <w:tcPr>
            <w:tcW w:type="dxa" w:w="2880"/>
            <w:shd w:fill="FFFFFF" w:color="auto" w:val="clear"/>
            <w:tcMar>
              <w:top w:type="dxa" w:w="80"/>
              <w:left w:type="dxa" w:w="120"/>
              <w:bottom w:type="dxa" w:w="80"/>
              <w:right w:type="dxa" w:w="120"/>
            </w:tcMar>
            <w:vAlign w:val="center"/>
          </w:tcPr>
          <w:p>
            <w:pPr>
              <w:jc w:val="left"/>
            </w:pPr>
            <w:r>
              <w:rPr>
                <w:b w:val="false"/>
                <w:bCs w:val="false"/>
                <w:sz w:val="20"/>
                <w:szCs w:val="20"/>
              </w:rPr>
              <w:t xml:space="preserve">€73,126.86</w:t>
            </w:r>
          </w:p>
        </w:tc>
        <w:tc>
          <w:tcPr>
            <w:tcW w:type="dxa" w:w="2880"/>
            <w:shd w:fill="FFFFFF" w:color="auto" w:val="clear"/>
            <w:tcMar>
              <w:top w:type="dxa" w:w="80"/>
              <w:left w:type="dxa" w:w="120"/>
              <w:bottom w:type="dxa" w:w="80"/>
              <w:right w:type="dxa" w:w="120"/>
            </w:tcMar>
            <w:vAlign w:val="center"/>
          </w:tcPr>
          <w:p>
            <w:pPr>
              <w:jc w:val="left"/>
            </w:pPr>
            <w:r>
              <w:rPr>
                <w:b w:val="false"/>
                <w:bCs w:val="false"/>
                <w:sz w:val="20"/>
                <w:szCs w:val="20"/>
              </w:rPr>
              <w:t xml:space="preserve">103 real FN, 61 real FP (same real OOF scores)</w:t>
            </w:r>
          </w:p>
        </w:tc>
      </w:tr>
      <w:tr>
        <w:trPr>
          <w:cantSplit/>
        </w:trPr>
        <w:tc>
          <w:tcPr>
            <w:tcW w:type="dxa" w:w="3600"/>
            <w:shd w:fill="F2F2F2" w:color="auto" w:val="clear"/>
            <w:tcMar>
              <w:top w:type="dxa" w:w="80"/>
              <w:left w:type="dxa" w:w="120"/>
              <w:bottom w:type="dxa" w:w="80"/>
              <w:right w:type="dxa" w:w="120"/>
            </w:tcMar>
            <w:vAlign w:val="center"/>
          </w:tcPr>
          <w:p>
            <w:pPr>
              <w:jc w:val="left"/>
            </w:pPr>
            <w:r>
              <w:rPr>
                <w:b w:val="false"/>
                <w:bCs w:val="false"/>
                <w:sz w:val="20"/>
                <w:szCs w:val="20"/>
              </w:rPr>
              <w:t xml:space="preserve">Cost-optimal threshold (0.0443)</w:t>
            </w:r>
          </w:p>
        </w:tc>
        <w:tc>
          <w:tcPr>
            <w:tcW w:type="dxa" w:w="2880"/>
            <w:shd w:fill="F2F2F2" w:color="auto" w:val="clear"/>
            <w:tcMar>
              <w:top w:type="dxa" w:w="80"/>
              <w:left w:type="dxa" w:w="120"/>
              <w:bottom w:type="dxa" w:w="80"/>
              <w:right w:type="dxa" w:w="120"/>
            </w:tcMar>
            <w:vAlign w:val="center"/>
          </w:tcPr>
          <w:p>
            <w:pPr>
              <w:jc w:val="left"/>
            </w:pPr>
            <w:r>
              <w:rPr>
                <w:b w:val="false"/>
                <w:bCs w:val="false"/>
                <w:sz w:val="20"/>
                <w:szCs w:val="20"/>
              </w:rPr>
              <w:t xml:space="preserve">€65,713.59</w:t>
            </w:r>
          </w:p>
        </w:tc>
        <w:tc>
          <w:tcPr>
            <w:tcW w:type="dxa" w:w="2880"/>
            <w:shd w:fill="F2F2F2" w:color="auto" w:val="clear"/>
            <w:tcMar>
              <w:top w:type="dxa" w:w="80"/>
              <w:left w:type="dxa" w:w="120"/>
              <w:bottom w:type="dxa" w:w="80"/>
              <w:right w:type="dxa" w:w="120"/>
            </w:tcMar>
            <w:vAlign w:val="center"/>
          </w:tcPr>
          <w:p>
            <w:pPr>
              <w:jc w:val="left"/>
            </w:pPr>
            <w:r>
              <w:rPr>
                <w:b w:val="false"/>
                <w:bCs w:val="false"/>
                <w:sz w:val="20"/>
                <w:szCs w:val="20"/>
              </w:rPr>
              <w:t xml:space="preserve">86 real FN, 177 real FP</w:t>
            </w:r>
          </w:p>
        </w:tc>
      </w:tr>
    </w:tbl>
    <w:p>
      <w:pPr>
        <w:spacing w:after="160"/>
      </w:pPr>
      <w:r>
        <w:rPr>
          <w:b/>
          <w:bCs/>
        </w:rPr>
        <w:t xml:space="preserve">Real measured savings vs. no model: €199,450.76. Real measured savings vs. a naive 0.5 threshold: €7,413.27. Both numbers are Measured per Section 10's boundary — computed directly from this run's real confusion matrices and the dataset's real Amount field, using no external input beyond the two already-sourced cost multipliers.</w:t>
      </w:r>
    </w:p>
    <w:p>
      <w:pPr>
        <w:pStyle w:val="Heading2"/>
        <w:spacing w:after="150" w:before="300"/>
      </w:pPr>
      <w:r>
        <w:t xml:space="preserve">22.5 Real Adversarial Robustness (Section 19, Phase 3)</w:t>
      </w:r>
    </w:p>
    <w:p>
      <w:pPr>
        <w:spacing w:after="160"/>
      </w:pPr>
      <w:r>
        <w:t xml:space="preserve">Run for real against the real trained CatBoost champion. Perturbation sensitivity: shrinking or growing Amount by 10–50%, or shifting Time by up to 12 hours, evaded at most 1 of 492 caught fraud cases (0.20%) in any single perturbation. Boundary-search (greedy Amount reduction): 3 of 492 currently-caught fraud cases (0.61%) were evadable within a 90% amount-cut budget, needing a median 58% cut.</w:t>
      </w:r>
    </w:p>
    <w:p>
      <w:pPr>
        <w:spacing w:after="160"/>
      </w:pPr>
      <w:r>
        <w:rPr>
          <w:i/>
          <w:iCs/>
        </w:rPr>
        <w:t xml:space="preserve">Honest methodological caveat: this run scored the champion model on the same rows it was fit on (in-sample), not on a strictly held-out fold. That means the "492/492 caught" starting point is optimistic — the real held-out recall (from Section 22.2) is 82.52%, not 100%. The adversarial-evasion percentages above describe how the model's decision boundary behaves under perturbation given what it currently flags, which is still real and useful signal, but a fully rigorous version of this test would run the perturbation search against held-out folds specifically. Documented here as a known limitation for a future, more rigorous pass — not smoothed over.</w:t>
      </w:r>
    </w:p>
    <w:p>
      <w:pPr>
        <w:pStyle w:val="Heading2"/>
        <w:spacing w:after="150" w:before="300"/>
      </w:pPr>
      <w:r>
        <w:t xml:space="preserve">22.6 Real Local API Signal (Section 17.4, Phase 5)</w:t>
      </w:r>
    </w:p>
    <w:p>
      <w:pPr>
        <w:spacing w:after="160"/>
      </w:pPr>
      <w:r>
        <w:t xml:space="preserve">The real FastAPI service (deployment/app.py) was started with the real trained CatBoost model and sent 300 real HTTP requests built from real dataset rows. Real result: mean 1.55ms, median 1.48ms, p95 1.83ms, p99 2.27ms, max 6.67ms. This is a genuine measurement of the real code path end-to-end (HTTP → model → response) — but it was localhost-to-localhost inside one cloud sandbox, not a reachable, containerized, production-like deployment. It is real signal that the service works correctly and is fast; it is not yet Phase 5's full Definition of Done.</w:t>
      </w:r>
    </w:p>
    <w:p>
      <w:pPr>
        <w:pStyle w:val="Heading2"/>
        <w:spacing w:after="150" w:before="300"/>
      </w:pPr>
      <w:r>
        <w:t xml:space="preserve">22.7 What This Changes in the Section 21 Roadmap</w:t>
      </w:r>
    </w:p>
    <w:p>
      <w:pPr>
        <w:spacing w:after="160"/>
      </w:pPr>
      <w:r>
        <w:rPr>
          <w:i/>
          <w:iCs/>
        </w:rPr>
        <w:t xml:space="preserve">Phase 1 and Phase 3 now carry full real execution evidence (with the provenance and in-sample caveats stated plainly above) and are marked DONE in the Section 21 table. Phase 5 is marked PARTIAL — real local signal exists, but not a real reachable deployment. Phases 4, 6, 7, and 8 are unchanged from v7.1. The updated honest score is reported in the delivery message, not restated here, to avoid this document going stale the next time a phase changes.</w:t>
      </w:r>
    </w:p>
    <w:p>
      <w:pPr>
        <w:pBdr>
          <w:bottom w:val="single" w:color="AAAAAA" w:sz="6" w:space="1"/>
        </w:pBdr>
        <w:spacing w:after="200"/>
      </w:pPr>
    </w:p>
    <w:p>
      <w:pPr>
        <w:spacing w:after="160"/>
      </w:pPr>
      <w:r>
        <w:rPr>
          <w:i/>
          <w:iCs/>
          <w:color w:val="555555"/>
        </w:rPr>
        <w:t xml:space="preserve">This document is the binding reference for Project 1 execution. Any deviation from it during the real build should be an explicit, disclosed decision — never a silent shortcut.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Fraud Detection Platform — Master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2026-09-13T12:13:48.407Z</dcterms:created>
  <dcterms:modified xsi:type="dcterms:W3CDTF">2026-09-13T12:13:48.407Z</dcterms:modified>
</cp:coreProperties>
</file>

<file path=docProps/custom.xml><?xml version="1.0" encoding="utf-8"?>
<Properties xmlns="http://schemas.openxmlformats.org/officeDocument/2006/custom-properties" xmlns:vt="http://schemas.openxmlformats.org/officeDocument/2006/docPropsVTypes"/>
</file>