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Mega Project 2 — Notebook 01: Expected Loss &amp; Capital Requirement</w:t>
      </w:r>
    </w:p>
    <w:p>
      <w:pPr>
        <w:jc w:val="center"/>
      </w:pPr>
      <w:r>
        <w:rPr>
          <w:i/>
          <w:color w:val="595959"/>
          <w:sz w:val="22"/>
        </w:rPr>
        <w:t>Real PD (Mega Project 1 champion model) x Documented Basel Retail-IRB LGD/EAD/Correlation Assumptions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307,511 real applicants scored for real probability of default via Mega Project 1's trained champion model (LightGBM).</w:t>
      </w:r>
    </w:p>
    <w:p>
      <w:pPr>
        <w:pStyle w:val="ListBullet"/>
      </w:pPr>
      <w:r>
        <w:t>Real total EAD proxy (AMT_CREDIT): $184,207,084,196.</w:t>
      </w:r>
    </w:p>
    <w:p>
      <w:pPr>
        <w:pStyle w:val="ListBullet"/>
      </w:pPr>
      <w:r>
        <w:t>Real-PD x documented-LGD Expected Loss: $3,917,645,733 (2.13% of EAD).</w:t>
      </w:r>
    </w:p>
    <w:p>
      <w:pPr>
        <w:pStyle w:val="ListBullet"/>
      </w:pPr>
      <w:r>
        <w:t>Basel retail-IRB capital requirement: $9,756,908,313 (5.30% of EAD).</w:t>
      </w:r>
    </w:p>
    <w:p>
      <w:pPr>
        <w:pStyle w:val="ListBullet"/>
      </w:pPr>
      <w:r>
        <w:t>Statistical robustness verdict: STATISTICALLY ROBUST — RECOMMENDED FOR PRODUCTION</w:t>
      </w:r>
    </w:p>
    <w:p>
      <w:r>
        <w:rPr>
          <w:b/>
        </w:rPr>
        <w:t>Independent Audit Status</w:t>
      </w:r>
    </w:p>
    <w:p>
      <w:r>
        <w:rPr>
          <w:b w:val="0"/>
        </w:rPr>
        <w:t>This project was developed as an independent portfolio body of work and has not undergone formal validation, audit, or sign-off by a financial institution's model risk management (SR 11-7 or equivalent) function, a third-party auditor, or a regulator. All model outputs, risk metrics, and business-impact figures in this report are self-computed under the assumptions stated herein and have not been realized in a live production environment at a financial institution.</w:t>
      </w:r>
    </w:p>
    <w:p>
      <w:pPr>
        <w:pStyle w:val="Heading1"/>
      </w:pPr>
      <w:r>
        <w:t>Key Insights &amp; SMART Recommendations</w:t>
      </w:r>
    </w:p>
    <w:p>
      <w:r>
        <w:rPr>
          <w:b/>
          <w:color w:val="2A78D6"/>
          <w:sz w:val="25"/>
        </w:rPr>
        <w:t>Real-PD-based capital estimate meets the statistical-robustness bar</w:t>
      </w:r>
    </w:p>
    <w:p>
      <w:pPr>
        <w:pStyle w:val="ListBullet"/>
      </w:pPr>
      <w:r>
        <w:rPr>
          <w:b/>
          <w:color w:val="2A78D6"/>
        </w:rPr>
        <w:t xml:space="preserve">Specific: </w:t>
      </w:r>
      <w:r>
        <w:t>Chi-square p=0, Cramer's V 0.3754 (95% bootstrap CI [0.3698, 0.3810]); 5/5 validation checks PASS.</w:t>
      </w:r>
    </w:p>
    <w:p>
      <w:pPr>
        <w:pStyle w:val="ListBullet"/>
      </w:pPr>
      <w:r>
        <w:rPr>
          <w:b/>
          <w:color w:val="2A78D6"/>
        </w:rPr>
        <w:t xml:space="preserve">Measurable: </w:t>
      </w:r>
      <w:r>
        <w:t>Total real EAD proxy $184,207,084,196; Expected Loss $3,917,645,733 (2.13%); Basel retail-IRB capital requirement $9,756,908,313 (5.30%).</w:t>
      </w:r>
    </w:p>
    <w:p>
      <w:pPr>
        <w:pStyle w:val="ListBullet"/>
      </w:pPr>
      <w:r>
        <w:rPr>
          <w:b/>
          <w:color w:val="2A78D6"/>
        </w:rPr>
        <w:t xml:space="preserve">Achievable: </w:t>
      </w:r>
      <w:r>
        <w:t>No further tuning required this cycle.</w:t>
      </w:r>
    </w:p>
    <w:p>
      <w:pPr>
        <w:pStyle w:val="ListBullet"/>
      </w:pPr>
      <w:r>
        <w:rPr>
          <w:b/>
          <w:color w:val="2A78D6"/>
        </w:rPr>
        <w:t xml:space="preserve">Relevant: </w:t>
      </w:r>
      <w:r>
        <w:t>Directly informs Mega Project 2's downstream RWA analytics, economic-capital, stress-testing, and concentration notebooks, which all reuse this notebook's real per-applicant PD/EL/capital output rather than recomputing it.</w:t>
      </w:r>
    </w:p>
    <w:p>
      <w:pPr>
        <w:pStyle w:val="ListBullet"/>
      </w:pPr>
      <w:r>
        <w:rPr>
          <w:b/>
          <w:color w:val="2A78D6"/>
        </w:rPr>
        <w:t xml:space="preserve">Time-bound: </w:t>
      </w:r>
      <w:r>
        <w:t>Re-run after any Notebook 01 (MP1) retrain, or any LGD/correlation assumption update.</w:t>
      </w:r>
    </w:p>
    <w:p/>
    <w:p>
      <w:pPr>
        <w:pStyle w:val="Heading1"/>
      </w:pPr>
      <w:r>
        <w:rPr>
          <w:color w:val="2A78D6"/>
        </w:rPr>
        <w:t>Expected Loss by PD Risk Band</w:t>
      </w:r>
    </w:p>
    <w:p>
      <w:r>
        <w:t>Real Expected Loss rate and real default rate, both computed per PD risk band (5-band convention shared across this suite).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PD Risk Band</w:t>
            </w:r>
          </w:p>
        </w:tc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N Applicants</w:t>
            </w:r>
          </w:p>
        </w:tc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Real Default Rate</w:t>
            </w:r>
          </w:p>
        </w:tc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EL Rate of EAD</w:t>
            </w:r>
          </w:p>
        </w:tc>
        <w:tc>
          <w:tcPr>
            <w:tcW w:type="dxa" w:w="1728"/>
            <w:shd w:fill="2a78d6"/>
          </w:tcPr>
          <w:p>
            <w:r>
              <w:rPr>
                <w:b/>
                <w:color w:val="FFFFFF"/>
              </w:rPr>
              <w:t>Capital Rate of EAD</w:t>
            </w:r>
          </w:p>
        </w:tc>
      </w:tr>
      <w:tr>
        <w:tc>
          <w:tcPr>
            <w:tcW w:type="dxa" w:w="1728"/>
          </w:tcPr>
          <w:p>
            <w:r>
              <w:t>Lowest Risk</w:t>
            </w:r>
          </w:p>
        </w:tc>
        <w:tc>
          <w:tcPr>
            <w:tcW w:type="dxa" w:w="1728"/>
          </w:tcPr>
          <w:p>
            <w:r>
              <w:t>154,958</w:t>
            </w:r>
          </w:p>
        </w:tc>
        <w:tc>
          <w:tcPr>
            <w:tcW w:type="dxa" w:w="1728"/>
          </w:tcPr>
          <w:p>
            <w:r>
              <w:t>1.86%</w:t>
            </w:r>
          </w:p>
        </w:tc>
        <w:tc>
          <w:tcPr>
            <w:tcW w:type="dxa" w:w="1728"/>
          </w:tcPr>
          <w:p>
            <w:r>
              <w:t>0.79%</w:t>
            </w:r>
          </w:p>
        </w:tc>
        <w:tc>
          <w:tcPr>
            <w:tcW w:type="dxa" w:w="1728"/>
          </w:tcPr>
          <w:p>
            <w:r>
              <w:t>3.86%</w:t>
            </w:r>
          </w:p>
        </w:tc>
      </w:tr>
      <w:tr>
        <w:tc>
          <w:tcPr>
            <w:tcW w:type="dxa" w:w="1728"/>
          </w:tcPr>
          <w:p>
            <w:r>
              <w:t>Low Risk</w:t>
            </w:r>
          </w:p>
        </w:tc>
        <w:tc>
          <w:tcPr>
            <w:tcW w:type="dxa" w:w="1728"/>
          </w:tcPr>
          <w:p>
            <w:r>
              <w:t>76,559</w:t>
            </w:r>
          </w:p>
        </w:tc>
        <w:tc>
          <w:tcPr>
            <w:tcW w:type="dxa" w:w="1728"/>
          </w:tcPr>
          <w:p>
            <w:r>
              <w:t>6.52%</w:t>
            </w:r>
          </w:p>
        </w:tc>
        <w:tc>
          <w:tcPr>
            <w:tcW w:type="dxa" w:w="1728"/>
          </w:tcPr>
          <w:p>
            <w:r>
              <w:t>2.01%</w:t>
            </w:r>
          </w:p>
        </w:tc>
        <w:tc>
          <w:tcPr>
            <w:tcW w:type="dxa" w:w="1728"/>
          </w:tcPr>
          <w:p>
            <w:r>
              <w:t>5.92%</w:t>
            </w:r>
          </w:p>
        </w:tc>
      </w:tr>
      <w:tr>
        <w:tc>
          <w:tcPr>
            <w:tcW w:type="dxa" w:w="1728"/>
          </w:tcPr>
          <w:p>
            <w:r>
              <w:t>Moderate Risk</w:t>
            </w:r>
          </w:p>
        </w:tc>
        <w:tc>
          <w:tcPr>
            <w:tcW w:type="dxa" w:w="1728"/>
          </w:tcPr>
          <w:p>
            <w:r>
              <w:t>49,270</w:t>
            </w:r>
          </w:p>
        </w:tc>
        <w:tc>
          <w:tcPr>
            <w:tcW w:type="dxa" w:w="1728"/>
          </w:tcPr>
          <w:p>
            <w:r>
              <w:t>15.01%</w:t>
            </w:r>
          </w:p>
        </w:tc>
        <w:tc>
          <w:tcPr>
            <w:tcW w:type="dxa" w:w="1728"/>
          </w:tcPr>
          <w:p>
            <w:r>
              <w:t>3.95%</w:t>
            </w:r>
          </w:p>
        </w:tc>
        <w:tc>
          <w:tcPr>
            <w:tcW w:type="dxa" w:w="1728"/>
          </w:tcPr>
          <w:p>
            <w:r>
              <w:t>7.64%</w:t>
            </w:r>
          </w:p>
        </w:tc>
      </w:tr>
      <w:tr>
        <w:tc>
          <w:tcPr>
            <w:tcW w:type="dxa" w:w="1728"/>
          </w:tcPr>
          <w:p>
            <w:r>
              <w:t>High Risk</w:t>
            </w:r>
          </w:p>
        </w:tc>
        <w:tc>
          <w:tcPr>
            <w:tcW w:type="dxa" w:w="1728"/>
          </w:tcPr>
          <w:p>
            <w:r>
              <w:t>19,711</w:t>
            </w:r>
          </w:p>
        </w:tc>
        <w:tc>
          <w:tcPr>
            <w:tcW w:type="dxa" w:w="1728"/>
          </w:tcPr>
          <w:p>
            <w:r>
              <w:t>29.31%</w:t>
            </w:r>
          </w:p>
        </w:tc>
        <w:tc>
          <w:tcPr>
            <w:tcW w:type="dxa" w:w="1728"/>
          </w:tcPr>
          <w:p>
            <w:r>
              <w:t>7.22%</w:t>
            </w:r>
          </w:p>
        </w:tc>
        <w:tc>
          <w:tcPr>
            <w:tcW w:type="dxa" w:w="1728"/>
          </w:tcPr>
          <w:p>
            <w:r>
              <w:t>8.99%</w:t>
            </w:r>
          </w:p>
        </w:tc>
      </w:tr>
      <w:tr>
        <w:tc>
          <w:tcPr>
            <w:tcW w:type="dxa" w:w="1728"/>
          </w:tcPr>
          <w:p>
            <w:r>
              <w:t>Highest Risk</w:t>
            </w:r>
          </w:p>
        </w:tc>
        <w:tc>
          <w:tcPr>
            <w:tcW w:type="dxa" w:w="1728"/>
          </w:tcPr>
          <w:p>
            <w:r>
              <w:t>7,013</w:t>
            </w:r>
          </w:p>
        </w:tc>
        <w:tc>
          <w:tcPr>
            <w:tcW w:type="dxa" w:w="1728"/>
          </w:tcPr>
          <w:p>
            <w:r>
              <w:t>53.90%</w:t>
            </w:r>
          </w:p>
        </w:tc>
        <w:tc>
          <w:tcPr>
            <w:tcW w:type="dxa" w:w="1728"/>
          </w:tcPr>
          <w:p>
            <w:r>
              <w:t>12.66%</w:t>
            </w:r>
          </w:p>
        </w:tc>
        <w:tc>
          <w:tcPr>
            <w:tcW w:type="dxa" w:w="1728"/>
          </w:tcPr>
          <w:p>
            <w:r>
              <w:t>8.58%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110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1_el_by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10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2A78D6"/>
        </w:rPr>
        <w:t xml:space="preserve">Insight — </w:t>
      </w:r>
      <w:r>
        <w:rPr>
          <w:i/>
          <w:color w:val="595959"/>
        </w:rPr>
        <w:t>Real Expected Loss rate rises from 0.79% of EAD in 'Lowest Risk' to 12.66% in 'Highest Risk' — tracking the real PD input the assumption layer is applied to.</w:t>
      </w:r>
    </w:p>
    <w:p>
      <w:r>
        <w:rPr>
          <w:i/>
          <w:color w:val="595959"/>
        </w:rPr>
        <w:t>Real default rate is highest in 'Highest Risk' at 53.90% across 7,013 real applicants.</w:t>
      </w:r>
    </w:p>
    <w:p>
      <w:r>
        <w:rPr>
          <w:i/>
          <w:color w:val="595959"/>
        </w:rPr>
        <w:t>Statistical robustness verdict: STATISTICALLY ROBUST — RECOMMENDED FOR PRODUCTION.</w:t>
      </w:r>
    </w:p>
    <w:p>
      <w:pPr>
        <w:pStyle w:val="Heading1"/>
      </w:pPr>
      <w:r>
        <w:rPr>
          <w:color w:val="EB6834"/>
        </w:rPr>
        <w:t>Capital Requirement by Documented LGD Segment</w:t>
      </w:r>
    </w:p>
    <w:p>
      <w:r>
        <w:t>Every segment's LGD and Basel asset-correlation value is a cited, published reference point (see the Assumptions sheet in the accompanying Excel workbook) -- never fitted to Home Credit's own real outcomes.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Segment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N Applicants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LGD Assumed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Real Default Rate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Total Capital Requirement</w:t>
            </w:r>
          </w:p>
        </w:tc>
      </w:tr>
      <w:tr>
        <w:tc>
          <w:tcPr>
            <w:tcW w:type="dxa" w:w="1728"/>
          </w:tcPr>
          <w:p>
            <w:r>
              <w:t>Secured — Real Estate</w:t>
            </w:r>
          </w:p>
        </w:tc>
        <w:tc>
          <w:tcPr>
            <w:tcW w:type="dxa" w:w="1728"/>
          </w:tcPr>
          <w:p>
            <w:r>
              <w:t>190,207</w:t>
            </w:r>
          </w:p>
        </w:tc>
        <w:tc>
          <w:tcPr>
            <w:tcW w:type="dxa" w:w="1728"/>
          </w:tcPr>
          <w:p>
            <w:r>
              <w:t>20%</w:t>
            </w:r>
          </w:p>
        </w:tc>
        <w:tc>
          <w:tcPr>
            <w:tcW w:type="dxa" w:w="1728"/>
          </w:tcPr>
          <w:p>
            <w:r>
              <w:t>8.25%</w:t>
            </w:r>
          </w:p>
        </w:tc>
        <w:tc>
          <w:tcPr>
            <w:tcW w:type="dxa" w:w="1728"/>
          </w:tcPr>
          <w:p>
            <w:r>
              <w:t>$6,340,640,310</w:t>
            </w:r>
          </w:p>
        </w:tc>
      </w:tr>
      <w:tr>
        <w:tc>
          <w:tcPr>
            <w:tcW w:type="dxa" w:w="1728"/>
          </w:tcPr>
          <w:p>
            <w:r>
              <w:t>Secured — Other (Vehicle/Goods)</w:t>
            </w:r>
          </w:p>
        </w:tc>
        <w:tc>
          <w:tcPr>
            <w:tcW w:type="dxa" w:w="1728"/>
          </w:tcPr>
          <w:p>
            <w:r>
              <w:t>30,138</w:t>
            </w:r>
          </w:p>
        </w:tc>
        <w:tc>
          <w:tcPr>
            <w:tcW w:type="dxa" w:w="1728"/>
          </w:tcPr>
          <w:p>
            <w:r>
              <w:t>35%</w:t>
            </w:r>
          </w:p>
        </w:tc>
        <w:tc>
          <w:tcPr>
            <w:tcW w:type="dxa" w:w="1728"/>
          </w:tcPr>
          <w:p>
            <w:r>
              <w:t>7.22%</w:t>
            </w:r>
          </w:p>
        </w:tc>
        <w:tc>
          <w:tcPr>
            <w:tcW w:type="dxa" w:w="1728"/>
          </w:tcPr>
          <w:p>
            <w:r>
              <w:t>$912,034,450</w:t>
            </w:r>
          </w:p>
        </w:tc>
      </w:tr>
      <w:tr>
        <w:tc>
          <w:tcPr>
            <w:tcW w:type="dxa" w:w="1728"/>
          </w:tcPr>
          <w:p>
            <w:r>
              <w:t>Unsecured — Other Retail</w:t>
            </w:r>
          </w:p>
        </w:tc>
        <w:tc>
          <w:tcPr>
            <w:tcW w:type="dxa" w:w="1728"/>
          </w:tcPr>
          <w:p>
            <w:r>
              <w:t>57,887</w:t>
            </w:r>
          </w:p>
        </w:tc>
        <w:tc>
          <w:tcPr>
            <w:tcW w:type="dxa" w:w="1728"/>
          </w:tcPr>
          <w:p>
            <w:r>
              <w:t>45%</w:t>
            </w:r>
          </w:p>
        </w:tc>
        <w:tc>
          <w:tcPr>
            <w:tcW w:type="dxa" w:w="1728"/>
          </w:tcPr>
          <w:p>
            <w:r>
              <w:t>9.23%</w:t>
            </w:r>
          </w:p>
        </w:tc>
        <w:tc>
          <w:tcPr>
            <w:tcW w:type="dxa" w:w="1728"/>
          </w:tcPr>
          <w:p>
            <w:r>
              <w:t>$2,006,180,271</w:t>
            </w:r>
          </w:p>
        </w:tc>
      </w:tr>
      <w:tr>
        <w:tc>
          <w:tcPr>
            <w:tcW w:type="dxa" w:w="1728"/>
          </w:tcPr>
          <w:p>
            <w:r>
              <w:t>Revolving (QRRE)</w:t>
            </w:r>
          </w:p>
        </w:tc>
        <w:tc>
          <w:tcPr>
            <w:tcW w:type="dxa" w:w="1728"/>
          </w:tcPr>
          <w:p>
            <w:r>
              <w:t>29,279</w:t>
            </w:r>
          </w:p>
        </w:tc>
        <w:tc>
          <w:tcPr>
            <w:tcW w:type="dxa" w:w="1728"/>
          </w:tcPr>
          <w:p>
            <w:r>
              <w:t>65%</w:t>
            </w:r>
          </w:p>
        </w:tc>
        <w:tc>
          <w:tcPr>
            <w:tcW w:type="dxa" w:w="1728"/>
          </w:tcPr>
          <w:p>
            <w:r>
              <w:t>5.48%</w:t>
            </w:r>
          </w:p>
        </w:tc>
        <w:tc>
          <w:tcPr>
            <w:tcW w:type="dxa" w:w="1728"/>
          </w:tcPr>
          <w:p>
            <w:r>
              <w:t>$498,053,281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1101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1_capital_by_seg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10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EB6834"/>
        </w:rPr>
        <w:t xml:space="preserve">Insight — </w:t>
      </w:r>
      <w:r>
        <w:rPr>
          <w:i/>
          <w:color w:val="595959"/>
        </w:rPr>
        <w:t>'Secured — Real Estate' carries the largest real total capital requirement ($6,340,640,310, LGD assumption 20%) across 190,207 real applicants.</w:t>
      </w:r>
    </w:p>
    <w:p>
      <w:r>
        <w:rPr>
          <w:i/>
          <w:color w:val="595959"/>
        </w:rPr>
        <w:t>Chi-square (PD-band vs. real default): chi2=43332.16, p=0, Cramer's V=0.3754 (95% bootstrap CI [0.3698, 0.3810]).</w:t>
      </w:r>
    </w:p>
    <w:p>
      <w:r>
        <w:rPr>
          <w:i/>
          <w:color w:val="595959"/>
        </w:rPr>
        <w:t>Every LGD/correlation value driving this chart is a cited Basel retail-IRB reference point -- see the Assumptions sheet in the Excel workbook for full sourcing.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