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864"/>
        </w:rPr>
        <w:t>Mega Project 2 — Notebook 02: Basel RWA Portfolio Analytics</w:t>
      </w:r>
    </w:p>
    <w:p>
      <w:pPr>
        <w:jc w:val="center"/>
      </w:pPr>
      <w:r>
        <w:rPr>
          <w:i/>
          <w:color w:val="595959"/>
          <w:sz w:val="22"/>
        </w:rPr>
        <w:t>Real per-applicant RWA (Notebook 01), analyzed across real portfolio segment cuts</w:t>
      </w:r>
    </w:p>
    <w:p/>
    <w:p>
      <w:pPr>
        <w:pStyle w:val="Heading1"/>
      </w:pPr>
      <w:r>
        <w:t>Executive Summary</w:t>
      </w:r>
    </w:p>
    <w:p>
      <w:pPr>
        <w:pStyle w:val="ListBullet"/>
      </w:pPr>
      <w:r>
        <w:t>307,511 real applicants (Notebook 01's output, reused not recomputed).</w:t>
      </w:r>
    </w:p>
    <w:p>
      <w:pPr>
        <w:pStyle w:val="ListBullet"/>
      </w:pPr>
      <w:r>
        <w:t>Real portfolio RWA density: 66.21%.</w:t>
      </w:r>
    </w:p>
    <w:p>
      <w:pPr>
        <w:pStyle w:val="ListBullet"/>
      </w:pPr>
      <w:r>
        <w:t>Highest real RWA density segment: NAME_INCOME_TYPE=Unemployed (90.22%).</w:t>
      </w:r>
    </w:p>
    <w:p>
      <w:pPr>
        <w:pStyle w:val="ListBullet"/>
      </w:pPr>
      <w:r>
        <w:t>Statistical robustness verdict: STATISTICALLY ROBUST — RECOMMENDED FOR PRODUCTION</w:t>
      </w:r>
    </w:p>
    <w:p>
      <w:r>
        <w:rPr>
          <w:b/>
        </w:rPr>
        <w:t>Independent Audit Status</w:t>
      </w:r>
    </w:p>
    <w:p>
      <w:r>
        <w:rPr>
          <w:b w:val="0"/>
        </w:rPr>
        <w:t>This project was developed as an independent portfolio body of work and has not undergone formal validation, audit, or sign-off by a financial institution's model risk management (SR 11-7 or equivalent) function, a third-party auditor, or a regulator. All model outputs, risk metrics, and business-impact figures in this report are self-computed under the assumptions stated herein and have not been realized in a live production environment at a financial institution.</w:t>
      </w:r>
    </w:p>
    <w:p>
      <w:pPr>
        <w:pStyle w:val="Heading1"/>
      </w:pPr>
      <w:r>
        <w:t>Key Insights &amp; SMART Recommendations</w:t>
      </w:r>
    </w:p>
    <w:p>
      <w:r>
        <w:rPr>
          <w:b/>
          <w:color w:val="2A78D6"/>
          <w:sz w:val="25"/>
        </w:rPr>
        <w:t>Portfolio RWA density meets the statistical-robustness bar</w:t>
      </w:r>
    </w:p>
    <w:p>
      <w:pPr>
        <w:pStyle w:val="ListBullet"/>
      </w:pPr>
      <w:r>
        <w:rPr>
          <w:b/>
          <w:color w:val="2A78D6"/>
        </w:rPr>
        <w:t xml:space="preserve">Specific: </w:t>
      </w:r>
      <w:r>
        <w:t>Chi-square p=0, Cramer's V 0.3754 (95% bootstrap CI [0.3698, 0.3810]); 3/3 validation checks PASS.</w:t>
      </w:r>
    </w:p>
    <w:p>
      <w:pPr>
        <w:pStyle w:val="ListBullet"/>
      </w:pPr>
      <w:r>
        <w:rPr>
          <w:b/>
          <w:color w:val="2A78D6"/>
        </w:rPr>
        <w:t xml:space="preserve">Measurable: </w:t>
      </w:r>
      <w:r>
        <w:t>Portfolio RWA density 66.21%; highest-density segment NAME_INCOME_TYPE=Unemployed (90.22%).</w:t>
      </w:r>
    </w:p>
    <w:p>
      <w:pPr>
        <w:pStyle w:val="ListBullet"/>
      </w:pPr>
      <w:r>
        <w:rPr>
          <w:b/>
          <w:color w:val="2A78D6"/>
        </w:rPr>
        <w:t xml:space="preserve">Achievable: </w:t>
      </w:r>
      <w:r>
        <w:t>No further tuning required this cycle.</w:t>
      </w:r>
    </w:p>
    <w:p>
      <w:pPr>
        <w:pStyle w:val="ListBullet"/>
      </w:pPr>
      <w:r>
        <w:rPr>
          <w:b/>
          <w:color w:val="2A78D6"/>
        </w:rPr>
        <w:t xml:space="preserve">Relevant: </w:t>
      </w:r>
      <w:r>
        <w:t>Identifies which real portfolio segments concentrate capital demand -- informs Problem 5 (Capital Concentration by Segment).</w:t>
      </w:r>
    </w:p>
    <w:p>
      <w:pPr>
        <w:pStyle w:val="ListBullet"/>
      </w:pPr>
      <w:r>
        <w:rPr>
          <w:b/>
          <w:color w:val="2A78D6"/>
        </w:rPr>
        <w:t xml:space="preserve">Time-bound: </w:t>
      </w:r>
      <w:r>
        <w:t>Re-run after any Notebook 01 (MP2) re-run or LGD/correlation assumption update.</w:t>
      </w:r>
    </w:p>
    <w:p/>
    <w:p>
      <w:pPr>
        <w:pStyle w:val="Heading1"/>
      </w:pPr>
      <w:r>
        <w:rPr>
          <w:color w:val="2A78D6"/>
        </w:rPr>
        <w:t>RWA Density by PD Risk Band</w:t>
      </w:r>
    </w:p>
    <w:p>
      <w:r>
        <w:t>Real RWA density and real default rate per PD risk band.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a78d6"/>
          </w:tcPr>
          <w:p>
            <w:r>
              <w:rPr>
                <w:b/>
                <w:color w:val="FFFFFF"/>
              </w:rPr>
              <w:t>PD Risk Band</w:t>
            </w:r>
          </w:p>
        </w:tc>
        <w:tc>
          <w:tcPr>
            <w:tcW w:type="dxa" w:w="2160"/>
            <w:shd w:fill="2a78d6"/>
          </w:tcPr>
          <w:p>
            <w:r>
              <w:rPr>
                <w:b/>
                <w:color w:val="FFFFFF"/>
              </w:rPr>
              <w:t>N Applicants</w:t>
            </w:r>
          </w:p>
        </w:tc>
        <w:tc>
          <w:tcPr>
            <w:tcW w:type="dxa" w:w="2160"/>
            <w:shd w:fill="2a78d6"/>
          </w:tcPr>
          <w:p>
            <w:r>
              <w:rPr>
                <w:b/>
                <w:color w:val="FFFFFF"/>
              </w:rPr>
              <w:t>Real Default Rate</w:t>
            </w:r>
          </w:p>
        </w:tc>
        <w:tc>
          <w:tcPr>
            <w:tcW w:type="dxa" w:w="2160"/>
            <w:shd w:fill="2a78d6"/>
          </w:tcPr>
          <w:p>
            <w:r>
              <w:rPr>
                <w:b/>
                <w:color w:val="FFFFFF"/>
              </w:rPr>
              <w:t>RWA Density</w:t>
            </w:r>
          </w:p>
        </w:tc>
      </w:tr>
      <w:tr>
        <w:tc>
          <w:tcPr>
            <w:tcW w:type="dxa" w:w="2160"/>
          </w:tcPr>
          <w:p>
            <w:r>
              <w:t>Lowest Risk</w:t>
            </w:r>
          </w:p>
        </w:tc>
        <w:tc>
          <w:tcPr>
            <w:tcW w:type="dxa" w:w="2160"/>
          </w:tcPr>
          <w:p>
            <w:r>
              <w:t>154,958</w:t>
            </w:r>
          </w:p>
        </w:tc>
        <w:tc>
          <w:tcPr>
            <w:tcW w:type="dxa" w:w="2160"/>
          </w:tcPr>
          <w:p>
            <w:r>
              <w:t>1.86%</w:t>
            </w:r>
          </w:p>
        </w:tc>
        <w:tc>
          <w:tcPr>
            <w:tcW w:type="dxa" w:w="2160"/>
          </w:tcPr>
          <w:p>
            <w:r>
              <w:t>48.31%</w:t>
            </w:r>
          </w:p>
        </w:tc>
      </w:tr>
      <w:tr>
        <w:tc>
          <w:tcPr>
            <w:tcW w:type="dxa" w:w="2160"/>
          </w:tcPr>
          <w:p>
            <w:r>
              <w:t>Low Risk</w:t>
            </w:r>
          </w:p>
        </w:tc>
        <w:tc>
          <w:tcPr>
            <w:tcW w:type="dxa" w:w="2160"/>
          </w:tcPr>
          <w:p>
            <w:r>
              <w:t>76,559</w:t>
            </w:r>
          </w:p>
        </w:tc>
        <w:tc>
          <w:tcPr>
            <w:tcW w:type="dxa" w:w="2160"/>
          </w:tcPr>
          <w:p>
            <w:r>
              <w:t>6.52%</w:t>
            </w:r>
          </w:p>
        </w:tc>
        <w:tc>
          <w:tcPr>
            <w:tcW w:type="dxa" w:w="2160"/>
          </w:tcPr>
          <w:p>
            <w:r>
              <w:t>74.05%</w:t>
            </w:r>
          </w:p>
        </w:tc>
      </w:tr>
      <w:tr>
        <w:tc>
          <w:tcPr>
            <w:tcW w:type="dxa" w:w="2160"/>
          </w:tcPr>
          <w:p>
            <w:r>
              <w:t>Moderate Risk</w:t>
            </w:r>
          </w:p>
        </w:tc>
        <w:tc>
          <w:tcPr>
            <w:tcW w:type="dxa" w:w="2160"/>
          </w:tcPr>
          <w:p>
            <w:r>
              <w:t>49,270</w:t>
            </w:r>
          </w:p>
        </w:tc>
        <w:tc>
          <w:tcPr>
            <w:tcW w:type="dxa" w:w="2160"/>
          </w:tcPr>
          <w:p>
            <w:r>
              <w:t>15.01%</w:t>
            </w:r>
          </w:p>
        </w:tc>
        <w:tc>
          <w:tcPr>
            <w:tcW w:type="dxa" w:w="2160"/>
          </w:tcPr>
          <w:p>
            <w:r>
              <w:t>95.55%</w:t>
            </w:r>
          </w:p>
        </w:tc>
      </w:tr>
      <w:tr>
        <w:tc>
          <w:tcPr>
            <w:tcW w:type="dxa" w:w="2160"/>
          </w:tcPr>
          <w:p>
            <w:r>
              <w:t>High Risk</w:t>
            </w:r>
          </w:p>
        </w:tc>
        <w:tc>
          <w:tcPr>
            <w:tcW w:type="dxa" w:w="2160"/>
          </w:tcPr>
          <w:p>
            <w:r>
              <w:t>19,711</w:t>
            </w:r>
          </w:p>
        </w:tc>
        <w:tc>
          <w:tcPr>
            <w:tcW w:type="dxa" w:w="2160"/>
          </w:tcPr>
          <w:p>
            <w:r>
              <w:t>29.31%</w:t>
            </w:r>
          </w:p>
        </w:tc>
        <w:tc>
          <w:tcPr>
            <w:tcW w:type="dxa" w:w="2160"/>
          </w:tcPr>
          <w:p>
            <w:r>
              <w:t>112.35%</w:t>
            </w:r>
          </w:p>
        </w:tc>
      </w:tr>
      <w:tr>
        <w:tc>
          <w:tcPr>
            <w:tcW w:type="dxa" w:w="2160"/>
          </w:tcPr>
          <w:p>
            <w:r>
              <w:t>Highest Risk</w:t>
            </w:r>
          </w:p>
        </w:tc>
        <w:tc>
          <w:tcPr>
            <w:tcW w:type="dxa" w:w="2160"/>
          </w:tcPr>
          <w:p>
            <w:r>
              <w:t>7,013</w:t>
            </w:r>
          </w:p>
        </w:tc>
        <w:tc>
          <w:tcPr>
            <w:tcW w:type="dxa" w:w="2160"/>
          </w:tcPr>
          <w:p>
            <w:r>
              <w:t>53.90%</w:t>
            </w:r>
          </w:p>
        </w:tc>
        <w:tc>
          <w:tcPr>
            <w:tcW w:type="dxa" w:w="2160"/>
          </w:tcPr>
          <w:p>
            <w:r>
              <w:t>107.23%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2110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ebook_02_rwa_analytic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10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2A78D6"/>
        </w:rPr>
        <w:t xml:space="preserve">Insight — </w:t>
      </w:r>
      <w:r>
        <w:rPr>
          <w:i/>
          <w:color w:val="595959"/>
        </w:rPr>
        <w:t>Real RWA density rises from 48.31% in 'Lowest Risk' to 107.23% in 'Highest Risk' -- higher-PD bands carry a higher capital charge by construction of the Basel K() formula (Notebook 01).</w:t>
      </w:r>
    </w:p>
    <w:p>
      <w:r>
        <w:rPr>
          <w:i/>
          <w:color w:val="595959"/>
        </w:rPr>
        <w:t>Portfolio-wide real RWA density: 66.21% ($121,961,353,912 RWA / $184,207,084,196 EAD).</w:t>
      </w:r>
    </w:p>
    <w:p>
      <w:r>
        <w:rPr>
          <w:i/>
          <w:color w:val="595959"/>
        </w:rPr>
        <w:t>Statistical robustness verdict: STATISTICALLY ROBUST — RECOMMENDED FOR PRODUCTION.</w:t>
      </w:r>
    </w:p>
    <w:p>
      <w:pPr>
        <w:pStyle w:val="Heading1"/>
      </w:pPr>
      <w:r>
        <w:rPr>
          <w:color w:val="EB6834"/>
        </w:rPr>
        <w:t>Top Segments by Total RWA</w:t>
      </w:r>
    </w:p>
    <w:p>
      <w:r>
        <w:t>Real total RWA, RWA density, and default rate across every segment cut (income type, education, contract type, region rating).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eb6834"/>
          </w:tcPr>
          <w:p>
            <w:r>
              <w:rPr>
                <w:b/>
                <w:color w:val="FFFFFF"/>
              </w:rPr>
              <w:t>Dimension</w:t>
            </w:r>
          </w:p>
        </w:tc>
        <w:tc>
          <w:tcPr>
            <w:tcW w:type="dxa" w:w="1728"/>
            <w:shd w:fill="eb6834"/>
          </w:tcPr>
          <w:p>
            <w:r>
              <w:rPr>
                <w:b/>
                <w:color w:val="FFFFFF"/>
              </w:rPr>
              <w:t>Segment</w:t>
            </w:r>
          </w:p>
        </w:tc>
        <w:tc>
          <w:tcPr>
            <w:tcW w:type="dxa" w:w="1728"/>
            <w:shd w:fill="eb6834"/>
          </w:tcPr>
          <w:p>
            <w:r>
              <w:rPr>
                <w:b/>
                <w:color w:val="FFFFFF"/>
              </w:rPr>
              <w:t>N Applicants</w:t>
            </w:r>
          </w:p>
        </w:tc>
        <w:tc>
          <w:tcPr>
            <w:tcW w:type="dxa" w:w="1728"/>
            <w:shd w:fill="eb6834"/>
          </w:tcPr>
          <w:p>
            <w:r>
              <w:rPr>
                <w:b/>
                <w:color w:val="FFFFFF"/>
              </w:rPr>
              <w:t>Total RWA</w:t>
            </w:r>
          </w:p>
        </w:tc>
        <w:tc>
          <w:tcPr>
            <w:tcW w:type="dxa" w:w="1728"/>
            <w:shd w:fill="eb6834"/>
          </w:tcPr>
          <w:p>
            <w:r>
              <w:rPr>
                <w:b/>
                <w:color w:val="FFFFFF"/>
              </w:rPr>
              <w:t>RWA Density</w:t>
            </w:r>
          </w:p>
        </w:tc>
      </w:tr>
      <w:tr>
        <w:tc>
          <w:tcPr>
            <w:tcW w:type="dxa" w:w="1728"/>
          </w:tcPr>
          <w:p>
            <w:r>
              <w:t>NAME_CONTRACT_TYPE</w:t>
            </w:r>
          </w:p>
        </w:tc>
        <w:tc>
          <w:tcPr>
            <w:tcW w:type="dxa" w:w="1728"/>
          </w:tcPr>
          <w:p>
            <w:r>
              <w:t>Cash loans</w:t>
            </w:r>
          </w:p>
        </w:tc>
        <w:tc>
          <w:tcPr>
            <w:tcW w:type="dxa" w:w="1728"/>
          </w:tcPr>
          <w:p>
            <w:r>
              <w:t>278,232</w:t>
            </w:r>
          </w:p>
        </w:tc>
        <w:tc>
          <w:tcPr>
            <w:tcW w:type="dxa" w:w="1728"/>
          </w:tcPr>
          <w:p>
            <w:r>
              <w:t>$115,735,687,895</w:t>
            </w:r>
          </w:p>
        </w:tc>
        <w:tc>
          <w:tcPr>
            <w:tcW w:type="dxa" w:w="1728"/>
          </w:tcPr>
          <w:p>
            <w:r>
              <w:t>66.24%</w:t>
            </w:r>
          </w:p>
        </w:tc>
      </w:tr>
      <w:tr>
        <w:tc>
          <w:tcPr>
            <w:tcW w:type="dxa" w:w="1728"/>
          </w:tcPr>
          <w:p>
            <w:r>
              <w:t>REGION_RATING_CLIENT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226,984</w:t>
            </w:r>
          </w:p>
        </w:tc>
        <w:tc>
          <w:tcPr>
            <w:tcW w:type="dxa" w:w="1728"/>
          </w:tcPr>
          <w:p>
            <w:r>
              <w:t>$87,786,179,260</w:t>
            </w:r>
          </w:p>
        </w:tc>
        <w:tc>
          <w:tcPr>
            <w:tcW w:type="dxa" w:w="1728"/>
          </w:tcPr>
          <w:p>
            <w:r>
              <w:t>66.50%</w:t>
            </w:r>
          </w:p>
        </w:tc>
      </w:tr>
      <w:tr>
        <w:tc>
          <w:tcPr>
            <w:tcW w:type="dxa" w:w="1728"/>
          </w:tcPr>
          <w:p>
            <w:r>
              <w:t>NAME_EDUCATION_TYPE</w:t>
            </w:r>
          </w:p>
        </w:tc>
        <w:tc>
          <w:tcPr>
            <w:tcW w:type="dxa" w:w="1728"/>
          </w:tcPr>
          <w:p>
            <w:r>
              <w:t>Secondary / secondary special</w:t>
            </w:r>
          </w:p>
        </w:tc>
        <w:tc>
          <w:tcPr>
            <w:tcW w:type="dxa" w:w="1728"/>
          </w:tcPr>
          <w:p>
            <w:r>
              <w:t>218,391</w:t>
            </w:r>
          </w:p>
        </w:tc>
        <w:tc>
          <w:tcPr>
            <w:tcW w:type="dxa" w:w="1728"/>
          </w:tcPr>
          <w:p>
            <w:r>
              <w:t>$87,103,856,440</w:t>
            </w:r>
          </w:p>
        </w:tc>
        <w:tc>
          <w:tcPr>
            <w:tcW w:type="dxa" w:w="1728"/>
          </w:tcPr>
          <w:p>
            <w:r>
              <w:t>69.83%</w:t>
            </w:r>
          </w:p>
        </w:tc>
      </w:tr>
      <w:tr>
        <w:tc>
          <w:tcPr>
            <w:tcW w:type="dxa" w:w="1728"/>
          </w:tcPr>
          <w:p>
            <w:r>
              <w:t>NAME_INCOME_TYPE</w:t>
            </w:r>
          </w:p>
        </w:tc>
        <w:tc>
          <w:tcPr>
            <w:tcW w:type="dxa" w:w="1728"/>
          </w:tcPr>
          <w:p>
            <w:r>
              <w:t>Working</w:t>
            </w:r>
          </w:p>
        </w:tc>
        <w:tc>
          <w:tcPr>
            <w:tcW w:type="dxa" w:w="1728"/>
          </w:tcPr>
          <w:p>
            <w:r>
              <w:t>158,774</w:t>
            </w:r>
          </w:p>
        </w:tc>
        <w:tc>
          <w:tcPr>
            <w:tcW w:type="dxa" w:w="1728"/>
          </w:tcPr>
          <w:p>
            <w:r>
              <w:t>$64,446,300,841</w:t>
            </w:r>
          </w:p>
        </w:tc>
        <w:tc>
          <w:tcPr>
            <w:tcW w:type="dxa" w:w="1728"/>
          </w:tcPr>
          <w:p>
            <w:r>
              <w:t>70.35%</w:t>
            </w:r>
          </w:p>
        </w:tc>
      </w:tr>
      <w:tr>
        <w:tc>
          <w:tcPr>
            <w:tcW w:type="dxa" w:w="1728"/>
          </w:tcPr>
          <w:p>
            <w:r>
              <w:t>NAME_INCOME_TYPE</w:t>
            </w:r>
          </w:p>
        </w:tc>
        <w:tc>
          <w:tcPr>
            <w:tcW w:type="dxa" w:w="1728"/>
          </w:tcPr>
          <w:p>
            <w:r>
              <w:t>Commercial associate</w:t>
            </w:r>
          </w:p>
        </w:tc>
        <w:tc>
          <w:tcPr>
            <w:tcW w:type="dxa" w:w="1728"/>
          </w:tcPr>
          <w:p>
            <w:r>
              <w:t>71,617</w:t>
            </w:r>
          </w:p>
        </w:tc>
        <w:tc>
          <w:tcPr>
            <w:tcW w:type="dxa" w:w="1728"/>
          </w:tcPr>
          <w:p>
            <w:r>
              <w:t>$30,526,225,212</w:t>
            </w:r>
          </w:p>
        </w:tc>
        <w:tc>
          <w:tcPr>
            <w:tcW w:type="dxa" w:w="1728"/>
          </w:tcPr>
          <w:p>
            <w:r>
              <w:t>63.63%</w:t>
            </w:r>
          </w:p>
        </w:tc>
      </w:tr>
      <w:tr>
        <w:tc>
          <w:tcPr>
            <w:tcW w:type="dxa" w:w="1728"/>
          </w:tcPr>
          <w:p>
            <w:r>
              <w:t>NAME_EDUCATION_TYPE</w:t>
            </w:r>
          </w:p>
        </w:tc>
        <w:tc>
          <w:tcPr>
            <w:tcW w:type="dxa" w:w="1728"/>
          </w:tcPr>
          <w:p>
            <w:r>
              <w:t>Higher education</w:t>
            </w:r>
          </w:p>
        </w:tc>
        <w:tc>
          <w:tcPr>
            <w:tcW w:type="dxa" w:w="1728"/>
          </w:tcPr>
          <w:p>
            <w:r>
              <w:t>74,863</w:t>
            </w:r>
          </w:p>
        </w:tc>
        <w:tc>
          <w:tcPr>
            <w:tcW w:type="dxa" w:w="1728"/>
          </w:tcPr>
          <w:p>
            <w:r>
              <w:t>$29,384,937,404</w:t>
            </w:r>
          </w:p>
        </w:tc>
        <w:tc>
          <w:tcPr>
            <w:tcW w:type="dxa" w:w="1728"/>
          </w:tcPr>
          <w:p>
            <w:r>
              <w:t>56.89%</w:t>
            </w:r>
          </w:p>
        </w:tc>
      </w:tr>
      <w:tr>
        <w:tc>
          <w:tcPr>
            <w:tcW w:type="dxa" w:w="1728"/>
          </w:tcPr>
          <w:p>
            <w:r>
              <w:t>REGION_RATING_CLIENT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48,330</w:t>
            </w:r>
          </w:p>
        </w:tc>
        <w:tc>
          <w:tcPr>
            <w:tcW w:type="dxa" w:w="1728"/>
          </w:tcPr>
          <w:p>
            <w:r>
              <w:t>$20,765,705,661</w:t>
            </w:r>
          </w:p>
        </w:tc>
        <w:tc>
          <w:tcPr>
            <w:tcW w:type="dxa" w:w="1728"/>
          </w:tcPr>
          <w:p>
            <w:r>
              <w:t>74.91%</w:t>
            </w:r>
          </w:p>
        </w:tc>
      </w:tr>
      <w:tr>
        <w:tc>
          <w:tcPr>
            <w:tcW w:type="dxa" w:w="1728"/>
          </w:tcPr>
          <w:p>
            <w:r>
              <w:t>NAME_INCOME_TYPE</w:t>
            </w:r>
          </w:p>
        </w:tc>
        <w:tc>
          <w:tcPr>
            <w:tcW w:type="dxa" w:w="1728"/>
          </w:tcPr>
          <w:p>
            <w:r>
              <w:t>Pensioner</w:t>
            </w:r>
          </w:p>
        </w:tc>
        <w:tc>
          <w:tcPr>
            <w:tcW w:type="dxa" w:w="1728"/>
          </w:tcPr>
          <w:p>
            <w:r>
              <w:t>55,362</w:t>
            </w:r>
          </w:p>
        </w:tc>
        <w:tc>
          <w:tcPr>
            <w:tcW w:type="dxa" w:w="1728"/>
          </w:tcPr>
          <w:p>
            <w:r>
              <w:t>$18,262,894,490</w:t>
            </w:r>
          </w:p>
        </w:tc>
        <w:tc>
          <w:tcPr>
            <w:tcW w:type="dxa" w:w="1728"/>
          </w:tcPr>
          <w:p>
            <w:r>
              <w:t>60.80%</w:t>
            </w:r>
          </w:p>
        </w:tc>
      </w:tr>
      <w:tr>
        <w:tc>
          <w:tcPr>
            <w:tcW w:type="dxa" w:w="1728"/>
          </w:tcPr>
          <w:p>
            <w:r>
              <w:t>REGION_RATING_CLIENT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32,197</w:t>
            </w:r>
          </w:p>
        </w:tc>
        <w:tc>
          <w:tcPr>
            <w:tcW w:type="dxa" w:w="1728"/>
          </w:tcPr>
          <w:p>
            <w:r>
              <w:t>$13,409,468,990</w:t>
            </w:r>
          </w:p>
        </w:tc>
        <w:tc>
          <w:tcPr>
            <w:tcW w:type="dxa" w:w="1728"/>
          </w:tcPr>
          <w:p>
            <w:r>
              <w:t>54.80%</w:t>
            </w:r>
          </w:p>
        </w:tc>
      </w:tr>
      <w:tr>
        <w:tc>
          <w:tcPr>
            <w:tcW w:type="dxa" w:w="1728"/>
          </w:tcPr>
          <w:p>
            <w:r>
              <w:t>NAME_INCOME_TYPE</w:t>
            </w:r>
          </w:p>
        </w:tc>
        <w:tc>
          <w:tcPr>
            <w:tcW w:type="dxa" w:w="1728"/>
          </w:tcPr>
          <w:p>
            <w:r>
              <w:t>State servant</w:t>
            </w:r>
          </w:p>
        </w:tc>
        <w:tc>
          <w:tcPr>
            <w:tcW w:type="dxa" w:w="1728"/>
          </w:tcPr>
          <w:p>
            <w:r>
              <w:t>21,703</w:t>
            </w:r>
          </w:p>
        </w:tc>
        <w:tc>
          <w:tcPr>
            <w:tcW w:type="dxa" w:w="1728"/>
          </w:tcPr>
          <w:p>
            <w:r>
              <w:t>$8,698,900,534</w:t>
            </w:r>
          </w:p>
        </w:tc>
        <w:tc>
          <w:tcPr>
            <w:tcW w:type="dxa" w:w="1728"/>
          </w:tcPr>
          <w:p>
            <w:r>
              <w:t>59.84%</w:t>
            </w:r>
          </w:p>
        </w:tc>
      </w:tr>
    </w:tbl>
    <w:p>
      <w:r>
        <w:rPr>
          <w:b/>
          <w:color w:val="EB6834"/>
        </w:rPr>
        <w:t xml:space="preserve">Insight — </w:t>
      </w:r>
      <w:r>
        <w:rPr>
          <w:i/>
          <w:color w:val="595959"/>
        </w:rPr>
        <w:t>'Cash loans' (NAME_CONTRACT_TYPE) carries the largest real total RWA ($115,735,687,895) across 278,232 real applicants.</w:t>
      </w:r>
    </w:p>
    <w:p>
      <w:r>
        <w:rPr>
          <w:i/>
          <w:color w:val="595959"/>
        </w:rPr>
        <w:t>'Unemployed' (NAME_INCOME_TYPE) shows the highest real RWA density (90.22%) -- a capital-efficiency signal, not necessarily the largest dollar exposure.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