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4 — Notebook 01: Early Delinquency Risk Scoring</w:t>
      </w:r>
    </w:p>
    <w:p>
      <w:pPr>
        <w:jc w:val="center"/>
      </w:pPr>
      <w:r>
        <w:rPr>
          <w:i/>
          <w:color w:val="595959"/>
          <w:sz w:val="22"/>
        </w:rPr>
        <w:t>Champion: random_forest | Real holdout ROC-AUC: 0.6032 | STATISTICALLY ROBUST — RECOMMENDED FOR PRODUCTION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random_forest selected as champion by highest real mean 5-fold CV ROC-AUC (0.6051) among the top-2 screened real candidates.</w:t>
      </w:r>
    </w:p>
    <w:p>
      <w:pPr>
        <w:pStyle w:val="ListBullet"/>
      </w:pPr>
      <w:r>
        <w:t>Real holdout ROC-AUC: 0.6032 (95% bootstrap CI [0.5952, 0.6113]) on 72,911 real applicants.</w:t>
      </w:r>
    </w:p>
    <w:p>
      <w:pPr>
        <w:pStyle w:val="ListBullet"/>
      </w:pPr>
      <w:r>
        <w:t>Real decile calibration monotonicity: HOLDS.</w:t>
      </w:r>
    </w:p>
    <w:p>
      <w:pPr>
        <w:pStyle w:val="ListBullet"/>
      </w:pPr>
      <w:r>
        <w:t>Scope: 291,643 of 307,511 real applicants (94.8%) with real prior installment-payment history.</w:t>
      </w:r>
    </w:p>
    <w:p>
      <w:pPr>
        <w:pStyle w:val="ListBullet"/>
      </w:pPr>
      <w:r>
        <w:t>Real side-by-side comparison: MP1 Notebook 01's application-time champion (LightGBM) scores 0.8099 ROC-AUC on this same holdout population, vs. this notebook's 0.6032 using only installment-behavior features — two real, complementary signals, not competing claims.</w:t>
      </w:r>
    </w:p>
    <w:p>
      <w:pPr>
        <w:pStyle w:val="ListBullet"/>
      </w:pPr>
      <w:r>
        <w:t>Deployment verdict: this analysis meets the deployment-readiness bar.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random_forest meets the deployment-readiness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Holdout ROC-AUC 0.6032 (95% CI [0.5952, 0.6113]) on 72,911 real applicants using only real installment-payment behavior.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Real decile calibration monotonicity holds; top real driver: PCT_INSTALLMENTS_LATE.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Score is computable for any applicant with at least one real serviced installment — 94.8% of this population.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Behavioral signal is available only post-approval, complementing (not replacing) MP1's application-time underwriting model for ongoing portfolio monitoring.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Re-score on a rolling basis as new installment records accrue; re-validate calibration each time the champion is retrained.</w:t>
      </w:r>
    </w:p>
    <w:p/>
    <w:p>
      <w:pPr>
        <w:pStyle w:val="Heading1"/>
      </w:pPr>
      <w:r>
        <w:rPr>
          <w:color w:val="2A78D6"/>
        </w:rPr>
        <w:t>Real Model Screening &amp; Champion Selection</w:t>
      </w:r>
    </w:p>
    <w:p>
      <w:r>
        <w:t>4 real candidate models were screened on a held-out validation split; the top 2 (random_forest, gradient_boosting) advanced to real 5-fold cross-validation.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Screen ROC-AUC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5-Fold CV Mean AUC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5-Fold CV Std</w:t>
            </w:r>
          </w:p>
        </w:tc>
      </w:tr>
      <w:tr>
        <w:tc>
          <w:tcPr>
            <w:tcW w:type="dxa" w:w="2160"/>
          </w:tcPr>
          <w:p>
            <w:r>
              <w:t>logistic_regression</w:t>
            </w:r>
          </w:p>
        </w:tc>
        <w:tc>
          <w:tcPr>
            <w:tcW w:type="dxa" w:w="2160"/>
          </w:tcPr>
          <w:p>
            <w:r>
              <w:t>0.5730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decision_tree</w:t>
            </w:r>
          </w:p>
        </w:tc>
        <w:tc>
          <w:tcPr>
            <w:tcW w:type="dxa" w:w="2160"/>
          </w:tcPr>
          <w:p>
            <w:r>
              <w:t>0.5868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random_forest</w:t>
            </w:r>
          </w:p>
        </w:tc>
        <w:tc>
          <w:tcPr>
            <w:tcW w:type="dxa" w:w="2160"/>
          </w:tcPr>
          <w:p>
            <w:r>
              <w:t>0.5978</w:t>
            </w:r>
          </w:p>
        </w:tc>
        <w:tc>
          <w:tcPr>
            <w:tcW w:type="dxa" w:w="2160"/>
          </w:tcPr>
          <w:p>
            <w:r>
              <w:t>0.6051</w:t>
            </w:r>
          </w:p>
        </w:tc>
        <w:tc>
          <w:tcPr>
            <w:tcW w:type="dxa" w:w="2160"/>
          </w:tcPr>
          <w:p>
            <w:r>
              <w:t>0.0059</w:t>
            </w:r>
          </w:p>
        </w:tc>
      </w:tr>
      <w:tr>
        <w:tc>
          <w:tcPr>
            <w:tcW w:type="dxa" w:w="2160"/>
          </w:tcPr>
          <w:p>
            <w:r>
              <w:t>gradient_boosting</w:t>
            </w:r>
          </w:p>
        </w:tc>
        <w:tc>
          <w:tcPr>
            <w:tcW w:type="dxa" w:w="2160"/>
          </w:tcPr>
          <w:p>
            <w:r>
              <w:t>0.5968</w:t>
            </w:r>
          </w:p>
        </w:tc>
        <w:tc>
          <w:tcPr>
            <w:tcW w:type="dxa" w:w="2160"/>
          </w:tcPr>
          <w:p>
            <w:r>
              <w:t>0.6041</w:t>
            </w:r>
          </w:p>
        </w:tc>
        <w:tc>
          <w:tcPr>
            <w:tcW w:type="dxa" w:w="2160"/>
          </w:tcPr>
          <w:p>
            <w:r>
              <w:t>0.0066</w:t>
            </w:r>
          </w:p>
        </w:tc>
      </w:tr>
    </w:tbl>
    <w:p>
      <w:pPr>
        <w:pStyle w:val="Heading1"/>
      </w:pPr>
      <w:r>
        <w:rPr>
          <w:color w:val="EB6834"/>
        </w:rPr>
        <w:t>Real Holdout Performance</w:t>
      </w:r>
    </w:p>
    <w:p>
      <w:r>
        <w:t>Champion (random_forest) evaluated on a true, held-out set of 72,911 real applicants never seen during training or model selection.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roc_auc</w:t>
            </w:r>
          </w:p>
        </w:tc>
        <w:tc>
          <w:tcPr>
            <w:tcW w:type="dxa" w:w="4320"/>
          </w:tcPr>
          <w:p>
            <w:r>
              <w:t>0.6032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0.1118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0.4952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0.1824</w:t>
            </w:r>
          </w:p>
        </w:tc>
      </w:tr>
      <w:tr>
        <w:tc>
          <w:tcPr>
            <w:tcW w:type="dxa" w:w="4320"/>
          </w:tcPr>
          <w:p>
            <w:r>
              <w:t>brier_score</w:t>
            </w:r>
          </w:p>
        </w:tc>
        <w:tc>
          <w:tcPr>
            <w:tcW w:type="dxa" w:w="4320"/>
          </w:tcPr>
          <w:p>
            <w:r>
              <w:t>0.2371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389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char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Real Decile Calibration</w:t>
      </w:r>
    </w:p>
    <w:p>
      <w:r>
        <w:t>Real observed default rate by predicted-risk decile (10 = highest predicted risk). Monotonicity check: HOLDS.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Decile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Mean Predicted Risk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Real Default Rate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7291</w:t>
            </w:r>
          </w:p>
        </w:tc>
        <w:tc>
          <w:tcPr>
            <w:tcW w:type="dxa" w:w="2160"/>
          </w:tcPr>
          <w:p>
            <w:r>
              <w:t>0.6347</w:t>
            </w:r>
          </w:p>
        </w:tc>
        <w:tc>
          <w:tcPr>
            <w:tcW w:type="dxa" w:w="2160"/>
          </w:tcPr>
          <w:p>
            <w:r>
              <w:t>0.1437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7291</w:t>
            </w:r>
          </w:p>
        </w:tc>
        <w:tc>
          <w:tcPr>
            <w:tcW w:type="dxa" w:w="2160"/>
          </w:tcPr>
          <w:p>
            <w:r>
              <w:t>0.5612</w:t>
            </w:r>
          </w:p>
        </w:tc>
        <w:tc>
          <w:tcPr>
            <w:tcW w:type="dxa" w:w="2160"/>
          </w:tcPr>
          <w:p>
            <w:r>
              <w:t>0.1082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7291</w:t>
            </w:r>
          </w:p>
        </w:tc>
        <w:tc>
          <w:tcPr>
            <w:tcW w:type="dxa" w:w="2160"/>
          </w:tcPr>
          <w:p>
            <w:r>
              <w:t>0.5258</w:t>
            </w:r>
          </w:p>
        </w:tc>
        <w:tc>
          <w:tcPr>
            <w:tcW w:type="dxa" w:w="2160"/>
          </w:tcPr>
          <w:p>
            <w:r>
              <w:t>0.0997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7291</w:t>
            </w:r>
          </w:p>
        </w:tc>
        <w:tc>
          <w:tcPr>
            <w:tcW w:type="dxa" w:w="2160"/>
          </w:tcPr>
          <w:p>
            <w:r>
              <w:t>0.5022</w:t>
            </w:r>
          </w:p>
        </w:tc>
        <w:tc>
          <w:tcPr>
            <w:tcW w:type="dxa" w:w="2160"/>
          </w:tcPr>
          <w:p>
            <w:r>
              <w:t>0.0859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7291</w:t>
            </w:r>
          </w:p>
        </w:tc>
        <w:tc>
          <w:tcPr>
            <w:tcW w:type="dxa" w:w="2160"/>
          </w:tcPr>
          <w:p>
            <w:r>
              <w:t>0.4886</w:t>
            </w:r>
          </w:p>
        </w:tc>
        <w:tc>
          <w:tcPr>
            <w:tcW w:type="dxa" w:w="2160"/>
          </w:tcPr>
          <w:p>
            <w:r>
              <w:t>0.0769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7291</w:t>
            </w:r>
          </w:p>
        </w:tc>
        <w:tc>
          <w:tcPr>
            <w:tcW w:type="dxa" w:w="2160"/>
          </w:tcPr>
          <w:p>
            <w:r>
              <w:t>0.4755</w:t>
            </w:r>
          </w:p>
        </w:tc>
        <w:tc>
          <w:tcPr>
            <w:tcW w:type="dxa" w:w="2160"/>
          </w:tcPr>
          <w:p>
            <w:r>
              <w:t>0.0706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7291</w:t>
            </w:r>
          </w:p>
        </w:tc>
        <w:tc>
          <w:tcPr>
            <w:tcW w:type="dxa" w:w="2160"/>
          </w:tcPr>
          <w:p>
            <w:r>
              <w:t>0.4569</w:t>
            </w:r>
          </w:p>
        </w:tc>
        <w:tc>
          <w:tcPr>
            <w:tcW w:type="dxa" w:w="2160"/>
          </w:tcPr>
          <w:p>
            <w:r>
              <w:t>0.0727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7291</w:t>
            </w:r>
          </w:p>
        </w:tc>
        <w:tc>
          <w:tcPr>
            <w:tcW w:type="dxa" w:w="2160"/>
          </w:tcPr>
          <w:p>
            <w:r>
              <w:t>0.4250</w:t>
            </w:r>
          </w:p>
        </w:tc>
        <w:tc>
          <w:tcPr>
            <w:tcW w:type="dxa" w:w="2160"/>
          </w:tcPr>
          <w:p>
            <w:r>
              <w:t>0.0639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7291</w:t>
            </w:r>
          </w:p>
        </w:tc>
        <w:tc>
          <w:tcPr>
            <w:tcW w:type="dxa" w:w="2160"/>
          </w:tcPr>
          <w:p>
            <w:r>
              <w:t>0.3943</w:t>
            </w:r>
          </w:p>
        </w:tc>
        <w:tc>
          <w:tcPr>
            <w:tcW w:type="dxa" w:w="2160"/>
          </w:tcPr>
          <w:p>
            <w:r>
              <w:t>0.0571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7292</w:t>
            </w:r>
          </w:p>
        </w:tc>
        <w:tc>
          <w:tcPr>
            <w:tcW w:type="dxa" w:w="2160"/>
          </w:tcPr>
          <w:p>
            <w:r>
              <w:t>0.3594</w:t>
            </w:r>
          </w:p>
        </w:tc>
        <w:tc>
          <w:tcPr>
            <w:tcW w:type="dxa" w:w="2160"/>
          </w:tcPr>
          <w:p>
            <w:r>
              <w:t>0.0399</w:t>
            </w:r>
          </w:p>
        </w:tc>
      </w:tr>
    </w:tbl>
    <w:p>
      <w:pPr>
        <w:pStyle w:val="Heading1"/>
      </w:pPr>
      <w:r>
        <w:rPr>
          <w:color w:val="EDA100"/>
        </w:rPr>
        <w:t>SHAP Explainability (Champion Model: random_forest)</w:t>
      </w:r>
    </w:p>
    <w:p>
      <w:r>
        <w:t>Real SHAP values computed on a real 300-row sample of the holdout set.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Feature</w:t>
            </w:r>
          </w:p>
        </w:tc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Mean |SHAP value|</w:t>
            </w:r>
          </w:p>
        </w:tc>
      </w:tr>
      <w:tr>
        <w:tc>
          <w:tcPr>
            <w:tcW w:type="dxa" w:w="4320"/>
          </w:tcPr>
          <w:p>
            <w:r>
              <w:t>PCT_INSTALLMENTS_LATE</w:t>
            </w:r>
          </w:p>
        </w:tc>
        <w:tc>
          <w:tcPr>
            <w:tcW w:type="dxa" w:w="4320"/>
          </w:tcPr>
          <w:p>
            <w:r>
              <w:t>0.02222</w:t>
            </w:r>
          </w:p>
        </w:tc>
      </w:tr>
      <w:tr>
        <w:tc>
          <w:tcPr>
            <w:tcW w:type="dxa" w:w="4320"/>
          </w:tcPr>
          <w:p>
            <w:r>
              <w:t>N_INSTALLMENTS</w:t>
            </w:r>
          </w:p>
        </w:tc>
        <w:tc>
          <w:tcPr>
            <w:tcW w:type="dxa" w:w="4320"/>
          </w:tcPr>
          <w:p>
            <w:r>
              <w:t>0.02161</w:t>
            </w:r>
          </w:p>
        </w:tc>
      </w:tr>
      <w:tr>
        <w:tc>
          <w:tcPr>
            <w:tcW w:type="dxa" w:w="4320"/>
          </w:tcPr>
          <w:p>
            <w:r>
              <w:t>N_PREV_LOANS_SERVICED</w:t>
            </w:r>
          </w:p>
        </w:tc>
        <w:tc>
          <w:tcPr>
            <w:tcW w:type="dxa" w:w="4320"/>
          </w:tcPr>
          <w:p>
            <w:r>
              <w:t>0.01652</w:t>
            </w:r>
          </w:p>
        </w:tc>
      </w:tr>
      <w:tr>
        <w:tc>
          <w:tcPr>
            <w:tcW w:type="dxa" w:w="4320"/>
          </w:tcPr>
          <w:p>
            <w:r>
              <w:t>PCT_INSTALLMENTS_UNDERPAID</w:t>
            </w:r>
          </w:p>
        </w:tc>
        <w:tc>
          <w:tcPr>
            <w:tcW w:type="dxa" w:w="4320"/>
          </w:tcPr>
          <w:p>
            <w:r>
              <w:t>0.01506</w:t>
            </w:r>
          </w:p>
        </w:tc>
      </w:tr>
      <w:tr>
        <w:tc>
          <w:tcPr>
            <w:tcW w:type="dxa" w:w="4320"/>
          </w:tcPr>
          <w:p>
            <w:r>
              <w:t>LATE_RATE_TREND</w:t>
            </w:r>
          </w:p>
        </w:tc>
        <w:tc>
          <w:tcPr>
            <w:tcW w:type="dxa" w:w="4320"/>
          </w:tcPr>
          <w:p>
            <w:r>
              <w:t>0.01306</w:t>
            </w:r>
          </w:p>
        </w:tc>
      </w:tr>
      <w:tr>
        <w:tc>
          <w:tcPr>
            <w:tcW w:type="dxa" w:w="4320"/>
          </w:tcPr>
          <w:p>
            <w:r>
              <w:t>MEAN_DAYS_LATE</w:t>
            </w:r>
          </w:p>
        </w:tc>
        <w:tc>
          <w:tcPr>
            <w:tcW w:type="dxa" w:w="4320"/>
          </w:tcPr>
          <w:p>
            <w:r>
              <w:t>0.01143</w:t>
            </w:r>
          </w:p>
        </w:tc>
      </w:tr>
      <w:tr>
        <w:tc>
          <w:tcPr>
            <w:tcW w:type="dxa" w:w="4320"/>
          </w:tcPr>
          <w:p>
            <w:r>
              <w:t>MEAN_DAYS_LATE_WHEN_LATE</w:t>
            </w:r>
          </w:p>
        </w:tc>
        <w:tc>
          <w:tcPr>
            <w:tcW w:type="dxa" w:w="4320"/>
          </w:tcPr>
          <w:p>
            <w:r>
              <w:t>0.00819</w:t>
            </w:r>
          </w:p>
        </w:tc>
      </w:tr>
      <w:tr>
        <w:tc>
          <w:tcPr>
            <w:tcW w:type="dxa" w:w="4320"/>
          </w:tcPr>
          <w:p>
            <w:r>
              <w:t>MEAN_PAYMENT_RATIO</w:t>
            </w:r>
          </w:p>
        </w:tc>
        <w:tc>
          <w:tcPr>
            <w:tcW w:type="dxa" w:w="4320"/>
          </w:tcPr>
          <w:p>
            <w:r>
              <w:t>0.00796</w:t>
            </w:r>
          </w:p>
        </w:tc>
      </w:tr>
      <w:tr>
        <w:tc>
          <w:tcPr>
            <w:tcW w:type="dxa" w:w="4320"/>
          </w:tcPr>
          <w:p>
            <w:r>
              <w:t>MAX_DAYS_LATE</w:t>
            </w:r>
          </w:p>
        </w:tc>
        <w:tc>
          <w:tcPr>
            <w:tcW w:type="dxa" w:w="4320"/>
          </w:tcPr>
          <w:p>
            <w:r>
              <w:t>0.00765</w:t>
            </w:r>
          </w:p>
        </w:tc>
      </w:tr>
      <w:tr>
        <w:tc>
          <w:tcPr>
            <w:tcW w:type="dxa" w:w="4320"/>
          </w:tcPr>
          <w:p>
            <w:r>
              <w:t>TOTAL_SHORTFALL_AMT</w:t>
            </w:r>
          </w:p>
        </w:tc>
        <w:tc>
          <w:tcPr>
            <w:tcW w:type="dxa" w:w="4320"/>
          </w:tcPr>
          <w:p>
            <w:r>
              <w:t>0.00359</w:t>
            </w:r>
          </w:p>
        </w:tc>
      </w:tr>
    </w:tbl>
    <w:p>
      <w:pPr>
        <w:pStyle w:val="Heading1"/>
      </w:pPr>
      <w:r>
        <w:rPr>
          <w:color w:val="E87BA4"/>
        </w:rPr>
        <w:t>Real Comparison vs. Mega Project 1 Notebook 01 (Application-Time Model)</w:t>
      </w:r>
    </w:p>
    <w:p>
      <w:r>
        <w:t>Both models predict the same real TARGET on the identical 72,911-row real holdout population. This is a real, honest comparison, not a claim that either model replaces the other — they use data available at different points in the loan lifecycle.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Model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Data Source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Real Holdout ROC-AUC</w:t>
            </w:r>
          </w:p>
        </w:tc>
      </w:tr>
      <w:tr>
        <w:tc>
          <w:tcPr>
            <w:tcW w:type="dxa" w:w="2880"/>
          </w:tcPr>
          <w:p>
            <w:r>
              <w:t>MP1 NB01 — LightGBM</w:t>
            </w:r>
          </w:p>
        </w:tc>
        <w:tc>
          <w:tcPr>
            <w:tcW w:type="dxa" w:w="2880"/>
          </w:tcPr>
          <w:p>
            <w:r>
              <w:t>Application-time covariates</w:t>
            </w:r>
          </w:p>
        </w:tc>
        <w:tc>
          <w:tcPr>
            <w:tcW w:type="dxa" w:w="2880"/>
          </w:tcPr>
          <w:p>
            <w:r>
              <w:t>0.8099</w:t>
            </w:r>
          </w:p>
        </w:tc>
      </w:tr>
      <w:tr>
        <w:tc>
          <w:tcPr>
            <w:tcW w:type="dxa" w:w="2880"/>
          </w:tcPr>
          <w:p>
            <w:r>
              <w:t>MP4 NB01 — random_forest</w:t>
            </w:r>
          </w:p>
        </w:tc>
        <w:tc>
          <w:tcPr>
            <w:tcW w:type="dxa" w:w="2880"/>
          </w:tcPr>
          <w:p>
            <w:r>
              <w:t>Installment-payment behavior</w:t>
            </w:r>
          </w:p>
        </w:tc>
        <w:tc>
          <w:tcPr>
            <w:tcW w:type="dxa" w:w="2880"/>
          </w:tcPr>
          <w:p>
            <w:r>
              <w:t>0.6032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