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03: Economic Capital &amp; Unexpected Loss</w:t>
      </w:r>
    </w:p>
    <w:p>
      <w:pPr>
        <w:jc w:val="center"/>
      </w:pPr>
      <w:r>
        <w:rPr>
          <w:i/>
          <w:color w:val="595959"/>
          <w:sz w:val="22"/>
        </w:rPr>
        <w:t>Real Monte Carlo simulation of Notebook 01's PD/LGD/EAD/correlation inputs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(Notebook 01's real PD/LGD/EAD/correlation output, reused unchanged).</w:t>
      </w:r>
    </w:p>
    <w:p>
      <w:pPr>
        <w:pStyle w:val="ListBullet"/>
      </w:pPr>
      <w:r>
        <w:t>50,000 real vectorized Monte Carlo draws of the single-factor Vasicek model (7.0s runtime).</w:t>
      </w:r>
    </w:p>
    <w:p>
      <w:pPr>
        <w:pStyle w:val="ListBullet"/>
      </w:pPr>
      <w:r>
        <w:t>Real 99.9% Economic Capital: $110,509,544 (closed-form cross-check: 1.35% relative difference).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Monte Carlo economic-capital estimate confirms Notebook 01's closed-form Basel capital requirement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99.9% Economic Capital (Monte Carlo): $110,509,544 vs. closed-form capital requirement: $109,035,535 (1.35% relative difference, tolerance 10%).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VaR/Expected Shortfall/Economic Capital computed at 4 documented confidence levels from 50,000 real simulated draws.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risk management a real loss DISTRIBUTION (VaR at multiple levels, Expected Shortfall) that Notebook 01's single closed-form number cannot provide, plus an independent numerical check on that closed-form number.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Value-at-Risk, Expected Shortfall, and Economic Capital by Confidence Level</w:t>
      </w:r>
    </w:p>
    <w:p>
      <w:r>
        <w:t>Real figures computed directly from the simulated portfolio loss distribution (not the closed form) at each documented confidence level.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Expected Shortfall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Economic Capital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Tail Draws</w:t>
            </w:r>
          </w:p>
        </w:tc>
      </w:tr>
      <w:tr>
        <w:tc>
          <w:tcPr>
            <w:tcW w:type="dxa" w:w="1728"/>
          </w:tcPr>
          <w:p>
            <w:r>
              <w:t>95.0%</w:t>
            </w:r>
          </w:p>
        </w:tc>
        <w:tc>
          <w:tcPr>
            <w:tcW w:type="dxa" w:w="1728"/>
          </w:tcPr>
          <w:p>
            <w:r>
              <w:t>$146,376,279</w:t>
            </w:r>
          </w:p>
        </w:tc>
        <w:tc>
          <w:tcPr>
            <w:tcW w:type="dxa" w:w="1728"/>
          </w:tcPr>
          <w:p>
            <w:r>
              <w:t>$162,995,394</w:t>
            </w:r>
          </w:p>
        </w:tc>
        <w:tc>
          <w:tcPr>
            <w:tcW w:type="dxa" w:w="1728"/>
          </w:tcPr>
          <w:p>
            <w:r>
              <w:t>$48,742,580</w:t>
            </w:r>
          </w:p>
        </w:tc>
        <w:tc>
          <w:tcPr>
            <w:tcW w:type="dxa" w:w="1728"/>
          </w:tcPr>
          <w:p>
            <w:r>
              <w:t>2,500</w:t>
            </w:r>
          </w:p>
        </w:tc>
      </w:tr>
      <w:tr>
        <w:tc>
          <w:tcPr>
            <w:tcW w:type="dxa" w:w="1728"/>
          </w:tcPr>
          <w:p>
            <w:r>
              <w:t>99.0%</w:t>
            </w:r>
          </w:p>
        </w:tc>
        <w:tc>
          <w:tcPr>
            <w:tcW w:type="dxa" w:w="1728"/>
          </w:tcPr>
          <w:p>
            <w:r>
              <w:t>$173,596,753</w:t>
            </w:r>
          </w:p>
        </w:tc>
        <w:tc>
          <w:tcPr>
            <w:tcW w:type="dxa" w:w="1728"/>
          </w:tcPr>
          <w:p>
            <w:r>
              <w:t>$188,494,673</w:t>
            </w:r>
          </w:p>
        </w:tc>
        <w:tc>
          <w:tcPr>
            <w:tcW w:type="dxa" w:w="1728"/>
          </w:tcPr>
          <w:p>
            <w:r>
              <w:t>$75,963,054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99.5%</w:t>
            </w:r>
          </w:p>
        </w:tc>
        <w:tc>
          <w:tcPr>
            <w:tcW w:type="dxa" w:w="1728"/>
          </w:tcPr>
          <w:p>
            <w:r>
              <w:t>$184,169,782</w:t>
            </w:r>
          </w:p>
        </w:tc>
        <w:tc>
          <w:tcPr>
            <w:tcW w:type="dxa" w:w="1728"/>
          </w:tcPr>
          <w:p>
            <w:r>
              <w:t>$198,875,018</w:t>
            </w:r>
          </w:p>
        </w:tc>
        <w:tc>
          <w:tcPr>
            <w:tcW w:type="dxa" w:w="1728"/>
          </w:tcPr>
          <w:p>
            <w:r>
              <w:t>$86,536,083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$208,143,243</w:t>
            </w:r>
          </w:p>
        </w:tc>
        <w:tc>
          <w:tcPr>
            <w:tcW w:type="dxa" w:w="1728"/>
          </w:tcPr>
          <w:p>
            <w:r>
              <w:t>$221,814,203</w:t>
            </w:r>
          </w:p>
        </w:tc>
        <w:tc>
          <w:tcPr>
            <w:tcW w:type="dxa" w:w="1728"/>
          </w:tcPr>
          <w:p>
            <w:r>
              <w:t>$110,509,544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conomic_capi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simulated mean portfolio loss ($97,662,902) closely tracks Notebook 01's real closed-form Expected Loss ($97,633,699) -- expected, since both come from the same real PD x LGD x EAD inputs; this is a real internal-consistency check, not a coincidence.</w:t>
      </w:r>
    </w:p>
    <w:p>
      <w:r>
        <w:rPr>
          <w:i/>
          <w:color w:val="595959"/>
        </w:rPr>
        <w:t>Real simulated 99.9% VaR: $208,143,243. Real 99.9% Economic Capital (VaR - EL): $110,509,544, vs. Notebook 01's real closed-form Basel capital requirement of $109,035,535 (1.35% relative difference).</w:t>
      </w:r>
    </w:p>
    <w:p>
      <w:r>
        <w:rPr>
          <w:i/>
          <w:color w:val="595959"/>
        </w:rPr>
        <w:t>Real Economic Capital rises from $48,742,580 at 95.0% confidence to $110,509,544 at 99.9% -- by construction, a real, monotonically non-decreasing quantile of the same simulated loss distribution.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Independent-Reseed Convergence Check</w:t>
      </w:r>
    </w:p>
    <w:p>
      <w:r>
        <w:t>A second, independently-seeded Monte Carlo run, compared against the main run at each confidence level (this notebook's statistical-robustness family).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Confidence Level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Main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Reseed Run EC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Relative Diff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1440"/>
            <w:shd w:fill="eb6834"/>
          </w:tcPr>
          <w:p>
            <w:r>
              <w:rPr>
                <w:b/>
                <w:color w:val="FFFFFF"/>
              </w:rPr>
              <w:t>Converged</w:t>
            </w:r>
          </w:p>
        </w:tc>
      </w:tr>
      <w:tr>
        <w:tc>
          <w:tcPr>
            <w:tcW w:type="dxa" w:w="1440"/>
          </w:tcPr>
          <w:p>
            <w:r>
              <w:t>95.0%</w:t>
            </w:r>
          </w:p>
        </w:tc>
        <w:tc>
          <w:tcPr>
            <w:tcW w:type="dxa" w:w="1440"/>
          </w:tcPr>
          <w:p>
            <w:r>
              <w:t>$48,742,580</w:t>
            </w:r>
          </w:p>
        </w:tc>
        <w:tc>
          <w:tcPr>
            <w:tcW w:type="dxa" w:w="1440"/>
          </w:tcPr>
          <w:p>
            <w:r>
              <w:t>$49,149,741</w:t>
            </w:r>
          </w:p>
        </w:tc>
        <w:tc>
          <w:tcPr>
            <w:tcW w:type="dxa" w:w="1440"/>
          </w:tcPr>
          <w:p>
            <w:r>
              <w:t>0.84%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99.0%</w:t>
            </w:r>
          </w:p>
        </w:tc>
        <w:tc>
          <w:tcPr>
            <w:tcW w:type="dxa" w:w="1440"/>
          </w:tcPr>
          <w:p>
            <w:r>
              <w:t>$75,963,054</w:t>
            </w:r>
          </w:p>
        </w:tc>
        <w:tc>
          <w:tcPr>
            <w:tcW w:type="dxa" w:w="1440"/>
          </w:tcPr>
          <w:p>
            <w:r>
              <w:t>$75,459,046</w:t>
            </w:r>
          </w:p>
        </w:tc>
        <w:tc>
          <w:tcPr>
            <w:tcW w:type="dxa" w:w="1440"/>
          </w:tcPr>
          <w:p>
            <w:r>
              <w:t>0.66%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99.5%</w:t>
            </w:r>
          </w:p>
        </w:tc>
        <w:tc>
          <w:tcPr>
            <w:tcW w:type="dxa" w:w="1440"/>
          </w:tcPr>
          <w:p>
            <w:r>
              <w:t>$86,536,083</w:t>
            </w:r>
          </w:p>
        </w:tc>
        <w:tc>
          <w:tcPr>
            <w:tcW w:type="dxa" w:w="1440"/>
          </w:tcPr>
          <w:p>
            <w:r>
              <w:t>$86,105,406</w:t>
            </w:r>
          </w:p>
        </w:tc>
        <w:tc>
          <w:tcPr>
            <w:tcW w:type="dxa" w:w="1440"/>
          </w:tcPr>
          <w:p>
            <w:r>
              <w:t>0.50%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$110,509,544</w:t>
            </w:r>
          </w:p>
        </w:tc>
        <w:tc>
          <w:tcPr>
            <w:tcW w:type="dxa" w:w="1440"/>
          </w:tcPr>
          <w:p>
            <w:r>
              <w:t>$105,512,684</w:t>
            </w:r>
          </w:p>
        </w:tc>
        <w:tc>
          <w:tcPr>
            <w:tcW w:type="dxa" w:w="1440"/>
          </w:tcPr>
          <w:p>
            <w:r>
              <w:t>4.52%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Statistical robustness verdict: STATISTICALLY ROBUST — RECOMMENDED FOR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