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05: Capital Concentration by Segment</w:t>
      </w:r>
    </w:p>
    <w:p>
      <w:pPr>
        <w:jc w:val="center"/>
      </w:pPr>
      <w:r>
        <w:rPr>
          <w:i/>
          <w:color w:val="595959"/>
          <w:sz w:val="22"/>
        </w:rPr>
        <w:t>Real Herfindahl-Hirschman Index (HHI) across every real segment/geography dimension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(Notebook 01's real capital output, reused not recomputed).</w:t>
      </w:r>
    </w:p>
    <w:p>
      <w:pPr>
        <w:pStyle w:val="ListBullet"/>
      </w:pPr>
      <w:r>
        <w:t>5 real dimensions examined: CAPITAL_SEGMENT, NAME_INCOME_TYPE, NAME_EDUCATION_TYPE, NAME_CONTRACT_TYPE, REGION_RATING_CLIENT.</w:t>
      </w:r>
    </w:p>
    <w:p>
      <w:pPr>
        <w:pStyle w:val="ListBullet"/>
      </w:pPr>
      <w:r>
        <w:t>Most concentrated: NAME_CONTRACT_TYPE (HHI=7562, Highly Concentrated).</w:t>
      </w:r>
    </w:p>
    <w:p>
      <w:pPr>
        <w:pStyle w:val="ListBullet"/>
      </w:pPr>
      <w:r>
        <w:t>Concentration validation verdict: CONCENTRATION METRICS VALIDATED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capital is highly concentrated by NAME_CONTRACT_TYPE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HHI=7562 across 2 real segments (effective N=1.32); largest segment 'Cash loans' holds 85.8% of real capital.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HHI computed for all 5 real dimensions available in this dataset in 0.35s.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Fills the concentration-risk gap Notebook 01's Pillar-1 closed form deliberately does not price (infinite-granularity assumption) -- a real Pillar-2-style view for risk management.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update or a new real segment dimension becomes available.</w:t>
      </w:r>
    </w:p>
    <w:p/>
    <w:p>
      <w:pPr>
        <w:pStyle w:val="Heading1"/>
      </w:pPr>
      <w:r>
        <w:rPr>
          <w:color w:val="2A78D6"/>
        </w:rPr>
        <w:t>HHI by Real Dimension</w:t>
      </w:r>
    </w:p>
    <w:p>
      <w:r>
        <w:t>Real Herfindahl-Hirschman Index, effective segment count, and largest-segment share per real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N Segments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HHI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Effective 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Interpretation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Largest Segment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Share</w:t>
            </w:r>
          </w:p>
        </w:tc>
      </w:tr>
      <w:tr>
        <w:tc>
          <w:tcPr>
            <w:tcW w:type="dxa" w:w="1234"/>
          </w:tcPr>
          <w:p>
            <w:r>
              <w:t>CAPITAL_SEGMENT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3044</w:t>
            </w:r>
          </w:p>
        </w:tc>
        <w:tc>
          <w:tcPr>
            <w:tcW w:type="dxa" w:w="1234"/>
          </w:tcPr>
          <w:p>
            <w:r>
              <w:t>3.28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Secured — Real Estate</w:t>
            </w:r>
          </w:p>
        </w:tc>
        <w:tc>
          <w:tcPr>
            <w:tcW w:type="dxa" w:w="1234"/>
          </w:tcPr>
          <w:p>
            <w:r>
              <w:t>44.5%</w:t>
            </w:r>
          </w:p>
        </w:tc>
      </w:tr>
      <w:tr>
        <w:tc>
          <w:tcPr>
            <w:tcW w:type="dxa" w:w="1234"/>
          </w:tcPr>
          <w:p>
            <w:r>
              <w:t>NAME_INCOME_TYPE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2002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Moderately Concentrated</w:t>
            </w:r>
          </w:p>
        </w:tc>
        <w:tc>
          <w:tcPr>
            <w:tcW w:type="dxa" w:w="1234"/>
          </w:tcPr>
          <w:p>
            <w:r>
              <w:t>Commercial associate</w:t>
            </w:r>
          </w:p>
        </w:tc>
        <w:tc>
          <w:tcPr>
            <w:tcW w:type="dxa" w:w="1234"/>
          </w:tcPr>
          <w:p>
            <w:r>
              <w:t>21.1%</w:t>
            </w:r>
          </w:p>
        </w:tc>
      </w:tr>
      <w:tr>
        <w:tc>
          <w:tcPr>
            <w:tcW w:type="dxa" w:w="1234"/>
          </w:tcPr>
          <w:p>
            <w:r>
              <w:t>NAME_EDUCATION_TYPE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2506</w:t>
            </w:r>
          </w:p>
        </w:tc>
        <w:tc>
          <w:tcPr>
            <w:tcW w:type="dxa" w:w="1234"/>
          </w:tcPr>
          <w:p>
            <w:r>
              <w:t>3.99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Incomplete higher</w:t>
            </w:r>
          </w:p>
        </w:tc>
        <w:tc>
          <w:tcPr>
            <w:tcW w:type="dxa" w:w="1234"/>
          </w:tcPr>
          <w:p>
            <w:r>
              <w:t>26.8%</w:t>
            </w:r>
          </w:p>
        </w:tc>
      </w:tr>
      <w:tr>
        <w:tc>
          <w:tcPr>
            <w:tcW w:type="dxa" w:w="1234"/>
          </w:tcPr>
          <w:p>
            <w:r>
              <w:t>NAME_CONTRACT_TYPE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7562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Cash loans</w:t>
            </w:r>
          </w:p>
        </w:tc>
        <w:tc>
          <w:tcPr>
            <w:tcW w:type="dxa" w:w="1234"/>
          </w:tcPr>
          <w:p>
            <w:r>
              <w:t>85.8%</w:t>
            </w:r>
          </w:p>
        </w:tc>
      </w:tr>
      <w:tr>
        <w:tc>
          <w:tcPr>
            <w:tcW w:type="dxa" w:w="1234"/>
          </w:tcPr>
          <w:p>
            <w:r>
              <w:t>REGION_RATING_CLIENT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3336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34.6%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apital_concen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capital concentration is highest by NAME_CONTRACT_TYPE (HHI=7562, Highly Concentrated) and lowest by NAME_INCOME_TYPE (HHI=2002, Moderately Concentrated).</w:t>
      </w:r>
    </w:p>
    <w:p>
      <w:r>
        <w:rPr>
          <w:i/>
          <w:color w:val="595959"/>
        </w:rPr>
        <w:t>Concentration validation verdict: CONCENTRATION METRICS VALIDATED — RECOMMENDED FOR PRODUCTION.</w:t>
      </w:r>
    </w:p>
    <w:p>
      <w:pPr>
        <w:pStyle w:val="Heading1"/>
      </w:pPr>
      <w:r>
        <w:rPr>
          <w:color w:val="EB6834"/>
        </w:rPr>
        <w:t>Real Capital Share by Segment — NAME_CONTRACT_TYPE (most concentrated dimension)</w:t>
      </w:r>
    </w:p>
    <w:p>
      <w:r>
        <w:t>Real capital share per segment within the most concentrated real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Capital Share</w:t>
            </w:r>
          </w:p>
        </w:tc>
      </w:tr>
      <w:tr>
        <w:tc>
          <w:tcPr>
            <w:tcW w:type="dxa" w:w="2160"/>
          </w:tcPr>
          <w:p>
            <w:r>
              <w:t>Cash loans</w:t>
            </w:r>
          </w:p>
        </w:tc>
        <w:tc>
          <w:tcPr>
            <w:tcW w:type="dxa" w:w="2160"/>
          </w:tcPr>
          <w:p>
            <w:r>
              <w:t>3,619</w:t>
            </w:r>
          </w:p>
        </w:tc>
        <w:tc>
          <w:tcPr>
            <w:tcW w:type="dxa" w:w="2160"/>
          </w:tcPr>
          <w:p>
            <w:r>
              <w:t>$93,539,933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  <w:tr>
        <w:tc>
          <w:tcPr>
            <w:tcW w:type="dxa" w:w="2160"/>
          </w:tcPr>
          <w:p>
            <w:r>
              <w:t>Revolving loans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$15,495,603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'Cash loans' alone accounts for 85.8% of real capital within NAME_CONTRACT_TYPE -- the single largest real concentration exposure found across every dimension examined.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