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3 — Notebook 01: Data-Driven Risk Tier Construction</w:t>
      </w:r>
    </w:p>
    <w:p>
      <w:pPr>
        <w:jc w:val="center"/>
      </w:pPr>
      <w:r>
        <w:rPr>
          <w:i/>
          <w:color w:val="595959"/>
          <w:sz w:val="22"/>
        </w:rPr>
        <w:t>Real CART-based optimal binning of real PD vs. real default — 6 tiers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4,000 real applicants, real PD scored from MP1 Notebook 01's champion (XGBoost).</w:t>
      </w:r>
    </w:p>
    <w:p>
      <w:pPr>
        <w:pStyle w:val="ListBullet"/>
      </w:pPr>
      <w:r>
        <w:t>6 real data-driven tiers found (requested up to 6).</w:t>
      </w:r>
    </w:p>
    <w:p>
      <w:pPr>
        <w:pStyle w:val="ListBullet"/>
      </w:pPr>
      <w:r>
        <w:t>Statistical robustness verdict: STATISTICALLY ROBUST — RECOMMENDED FOR PRODUCTION</w:t>
      </w:r>
    </w:p>
    <w:p>
      <w:pPr>
        <w:pStyle w:val="ListBullet"/>
      </w:pPr>
      <w:r>
        <w:t>Real capital-by-tier enrichment: included (MP2 Notebook 01 found).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6 real, statistically distinguishable risk tiers found in the data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Real default rate spans 1.6% in the lowest real-risk tier to 99.6% in the highest, across 6 real data-driven tiers -- boundaries found by a real decision tree, not chosen by hand.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Cramer's V=0.8873, 95% CI excludes 0.05: yes.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Computed end-to-end in 2.6s on 4,000 real applicants.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Gives a collections, pricing, or portfolio-management team real, data-driven tiers to differentiate treatment by -- distinct from the fixed 5-band convention used elsewhere in this suite for Basel capital purposes.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Re-run after any MP1 Notebook 01 retrain (PD would shift) or MP2 Notebook 01 re-run (refreshes the capital enrichment).</w:t>
      </w:r>
    </w:p>
    <w:p/>
    <w:p>
      <w:r>
        <w:rPr>
          <w:b/>
          <w:color w:val="EB6834"/>
          <w:sz w:val="25"/>
        </w:rPr>
        <w:t>Real capital concentrates in the highest data-driven risk tiers</w:t>
      </w:r>
    </w:p>
    <w:p>
      <w:pPr>
        <w:pStyle w:val="ListBullet"/>
      </w:pPr>
      <w:r>
        <w:rPr>
          <w:b/>
          <w:color w:val="EB6834"/>
        </w:rPr>
        <w:t xml:space="preserve">Specific: </w:t>
      </w:r>
      <w:r>
        <w:t>Real capital-to-EAD rate ranges from 5.6% to 9.1% across the real data-driven tiers.</w:t>
      </w:r>
    </w:p>
    <w:p>
      <w:pPr>
        <w:pStyle w:val="ListBullet"/>
      </w:pPr>
      <w:r>
        <w:rPr>
          <w:b/>
          <w:color w:val="EB6834"/>
        </w:rPr>
        <w:t xml:space="preserve">Measurable: </w:t>
      </w:r>
      <w:r>
        <w:t>4,000 real applicants matched to MP2 Notebook 01's real capital output.</w:t>
      </w:r>
    </w:p>
    <w:p>
      <w:pPr>
        <w:pStyle w:val="ListBullet"/>
      </w:pPr>
      <w:r>
        <w:rPr>
          <w:b/>
          <w:color w:val="EB6834"/>
        </w:rPr>
        <w:t xml:space="preserve">Achievable: </w:t>
      </w:r>
      <w:r>
        <w:t>No further tuning required this cycle.</w:t>
      </w:r>
    </w:p>
    <w:p>
      <w:pPr>
        <w:pStyle w:val="ListBullet"/>
      </w:pPr>
      <w:r>
        <w:rPr>
          <w:b/>
          <w:color w:val="EB6834"/>
        </w:rPr>
        <w:t xml:space="preserve">Relevant: </w:t>
      </w:r>
      <w:r>
        <w:t>Shows how the real Basel capital charge (Mega Project 2) would redistribute under this notebook's statistically optimal tiering instead of the fixed 5-band convention.</w:t>
      </w:r>
    </w:p>
    <w:p>
      <w:pPr>
        <w:pStyle w:val="ListBullet"/>
      </w:pPr>
      <w:r>
        <w:rPr>
          <w:b/>
          <w:color w:val="EB6834"/>
        </w:rPr>
        <w:t xml:space="preserve">Time-bound: </w:t>
      </w:r>
      <w:r>
        <w:t>Re-run whenever MP2 Notebook 01 is re-run.</w:t>
      </w:r>
    </w:p>
    <w:p/>
    <w:p>
      <w:pPr>
        <w:pStyle w:val="Heading1"/>
      </w:pPr>
      <w:r>
        <w:rPr>
          <w:color w:val="2A78D6"/>
        </w:rPr>
        <w:t>Real Default Rate by Data-Driven Risk Tier</w:t>
      </w:r>
    </w:p>
    <w:p>
      <w:r>
        <w:t>Real default rate and real population per tier, ordered by real mean PD.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N Applicants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Mean PD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PD Range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Real Default Rate</w:t>
            </w:r>
          </w:p>
        </w:tc>
      </w:tr>
      <w:tr>
        <w:tc>
          <w:tcPr>
            <w:tcW w:type="dxa" w:w="1728"/>
          </w:tcPr>
          <w:p>
            <w:r>
              <w:t>Tier 1</w:t>
            </w:r>
          </w:p>
        </w:tc>
        <w:tc>
          <w:tcPr>
            <w:tcW w:type="dxa" w:w="1728"/>
          </w:tcPr>
          <w:p>
            <w:r>
              <w:t>2,830</w:t>
            </w:r>
          </w:p>
        </w:tc>
        <w:tc>
          <w:tcPr>
            <w:tcW w:type="dxa" w:w="1728"/>
          </w:tcPr>
          <w:p>
            <w:r>
              <w:t>0.0703</w:t>
            </w:r>
          </w:p>
        </w:tc>
        <w:tc>
          <w:tcPr>
            <w:tcW w:type="dxa" w:w="1728"/>
          </w:tcPr>
          <w:p>
            <w:r>
              <w:t>[0.0069, 0.1435]</w:t>
            </w:r>
          </w:p>
        </w:tc>
        <w:tc>
          <w:tcPr>
            <w:tcW w:type="dxa" w:w="1728"/>
          </w:tcPr>
          <w:p>
            <w:r>
              <w:t>1.63%</w:t>
            </w:r>
          </w:p>
        </w:tc>
      </w:tr>
      <w:tr>
        <w:tc>
          <w:tcPr>
            <w:tcW w:type="dxa" w:w="1728"/>
          </w:tcPr>
          <w:p>
            <w:r>
              <w:t>Tier 2</w:t>
            </w:r>
          </w:p>
        </w:tc>
        <w:tc>
          <w:tcPr>
            <w:tcW w:type="dxa" w:w="1728"/>
          </w:tcPr>
          <w:p>
            <w:r>
              <w:t>232</w:t>
            </w:r>
          </w:p>
        </w:tc>
        <w:tc>
          <w:tcPr>
            <w:tcW w:type="dxa" w:w="1728"/>
          </w:tcPr>
          <w:p>
            <w:r>
              <w:t>0.1575</w:t>
            </w:r>
          </w:p>
        </w:tc>
        <w:tc>
          <w:tcPr>
            <w:tcW w:type="dxa" w:w="1728"/>
          </w:tcPr>
          <w:p>
            <w:r>
              <w:t>[0.1437, 0.1722]</w:t>
            </w:r>
          </w:p>
        </w:tc>
        <w:tc>
          <w:tcPr>
            <w:tcW w:type="dxa" w:w="1728"/>
          </w:tcPr>
          <w:p>
            <w:r>
              <w:t>8.19%</w:t>
            </w:r>
          </w:p>
        </w:tc>
      </w:tr>
      <w:tr>
        <w:tc>
          <w:tcPr>
            <w:tcW w:type="dxa" w:w="1728"/>
          </w:tcPr>
          <w:p>
            <w:r>
              <w:t>Tier 3</w:t>
            </w:r>
          </w:p>
        </w:tc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0.1831</w:t>
            </w:r>
          </w:p>
        </w:tc>
        <w:tc>
          <w:tcPr>
            <w:tcW w:type="dxa" w:w="1728"/>
          </w:tcPr>
          <w:p>
            <w:r>
              <w:t>[0.1722, 0.1934]</w:t>
            </w:r>
          </w:p>
        </w:tc>
        <w:tc>
          <w:tcPr>
            <w:tcW w:type="dxa" w:w="1728"/>
          </w:tcPr>
          <w:p>
            <w:r>
              <w:t>4.07%</w:t>
            </w:r>
          </w:p>
        </w:tc>
      </w:tr>
      <w:tr>
        <w:tc>
          <w:tcPr>
            <w:tcW w:type="dxa" w:w="1728"/>
          </w:tcPr>
          <w:p>
            <w:r>
              <w:t>Tier 4</w:t>
            </w:r>
          </w:p>
        </w:tc>
        <w:tc>
          <w:tcPr>
            <w:tcW w:type="dxa" w:w="1728"/>
          </w:tcPr>
          <w:p>
            <w:r>
              <w:t>205</w:t>
            </w:r>
          </w:p>
        </w:tc>
        <w:tc>
          <w:tcPr>
            <w:tcW w:type="dxa" w:w="1728"/>
          </w:tcPr>
          <w:p>
            <w:r>
              <w:t>0.2357</w:t>
            </w:r>
          </w:p>
        </w:tc>
        <w:tc>
          <w:tcPr>
            <w:tcW w:type="dxa" w:w="1728"/>
          </w:tcPr>
          <w:p>
            <w:r>
              <w:t>[0.1937, 0.3053]</w:t>
            </w:r>
          </w:p>
        </w:tc>
        <w:tc>
          <w:tcPr>
            <w:tcW w:type="dxa" w:w="1728"/>
          </w:tcPr>
          <w:p>
            <w:r>
              <w:t>16.59%</w:t>
            </w:r>
          </w:p>
        </w:tc>
      </w:tr>
      <w:tr>
        <w:tc>
          <w:tcPr>
            <w:tcW w:type="dxa" w:w="1728"/>
          </w:tcPr>
          <w:p>
            <w:r>
              <w:t>Tier 5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0.4046</w:t>
            </w:r>
          </w:p>
        </w:tc>
        <w:tc>
          <w:tcPr>
            <w:tcW w:type="dxa" w:w="1728"/>
          </w:tcPr>
          <w:p>
            <w:r>
              <w:t>[0.3063, 0.4761]</w:t>
            </w:r>
          </w:p>
        </w:tc>
        <w:tc>
          <w:tcPr>
            <w:tcW w:type="dxa" w:w="1728"/>
          </w:tcPr>
          <w:p>
            <w:r>
              <w:t>75.00%</w:t>
            </w:r>
          </w:p>
        </w:tc>
      </w:tr>
      <w:tr>
        <w:tc>
          <w:tcPr>
            <w:tcW w:type="dxa" w:w="1728"/>
          </w:tcPr>
          <w:p>
            <w:r>
              <w:t>Tier 6</w:t>
            </w:r>
          </w:p>
        </w:tc>
        <w:tc>
          <w:tcPr>
            <w:tcW w:type="dxa" w:w="1728"/>
          </w:tcPr>
          <w:p>
            <w:r>
              <w:t>490</w:t>
            </w:r>
          </w:p>
        </w:tc>
        <w:tc>
          <w:tcPr>
            <w:tcW w:type="dxa" w:w="1728"/>
          </w:tcPr>
          <w:p>
            <w:r>
              <w:t>0.6317</w:t>
            </w:r>
          </w:p>
        </w:tc>
        <w:tc>
          <w:tcPr>
            <w:tcW w:type="dxa" w:w="1728"/>
          </w:tcPr>
          <w:p>
            <w:r>
              <w:t>[0.4790, 0.8539]</w:t>
            </w:r>
          </w:p>
        </w:tc>
        <w:tc>
          <w:tcPr>
            <w:tcW w:type="dxa" w:w="1728"/>
          </w:tcPr>
          <w:p>
            <w:r>
              <w:t>99.59%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748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risk_ti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4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default rate spans 1.6% in the lowest real-risk tier to 99.6% in the highest, across 6 real data-driven tiers -- boundaries found by a real decision tree, not chosen by hand.</w:t>
      </w:r>
    </w:p>
    <w:p>
      <w:r>
        <w:rPr>
          <w:i/>
          <w:color w:val="595959"/>
        </w:rPr>
        <w:t>Chi-square p=0, Cramer's V=0.8873 (95% bootstrap CI [0.8703, 0.9039]).</w:t>
      </w:r>
    </w:p>
    <w:p>
      <w:r>
        <w:rPr>
          <w:i/>
          <w:color w:val="595959"/>
        </w:rPr>
        <w:t>Real population per tier ranges from 120 to 2,830 applicants, each tier holding at least 3.0% of the real portfolio by construction.</w:t>
      </w:r>
    </w:p>
    <w:p>
      <w:pPr>
        <w:pStyle w:val="Heading1"/>
      </w:pPr>
      <w:r>
        <w:rPr>
          <w:color w:val="EB6834"/>
        </w:rPr>
        <w:t>Real Capital-by-Tier Enrichment (from Mega Project 2 / Notebook 01)</w:t>
      </w:r>
    </w:p>
    <w:p>
      <w:r>
        <w:t>Real Expected Loss and Basel capital requirement, reused unchanged from Mega Project 2 / Notebook 01, aggregated by this notebook's new data-driven tiers.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N Matched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Total EL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Total Capital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Capital / EAD</w:t>
            </w:r>
          </w:p>
        </w:tc>
      </w:tr>
      <w:tr>
        <w:tc>
          <w:tcPr>
            <w:tcW w:type="dxa" w:w="1728"/>
          </w:tcPr>
          <w:p>
            <w:r>
              <w:t>Tier 1</w:t>
            </w:r>
          </w:p>
        </w:tc>
        <w:tc>
          <w:tcPr>
            <w:tcW w:type="dxa" w:w="1728"/>
          </w:tcPr>
          <w:p>
            <w:r>
              <w:t>2,830</w:t>
            </w:r>
          </w:p>
        </w:tc>
        <w:tc>
          <w:tcPr>
            <w:tcW w:type="dxa" w:w="1728"/>
          </w:tcPr>
          <w:p>
            <w:r>
              <w:t>$29,020,361</w:t>
            </w:r>
          </w:p>
        </w:tc>
        <w:tc>
          <w:tcPr>
            <w:tcW w:type="dxa" w:w="1728"/>
          </w:tcPr>
          <w:p>
            <w:r>
              <w:t>$68,960,236</w:t>
            </w:r>
          </w:p>
        </w:tc>
        <w:tc>
          <w:tcPr>
            <w:tcW w:type="dxa" w:w="1728"/>
          </w:tcPr>
          <w:p>
            <w:r>
              <w:t>5.64%</w:t>
            </w:r>
          </w:p>
        </w:tc>
      </w:tr>
      <w:tr>
        <w:tc>
          <w:tcPr>
            <w:tcW w:type="dxa" w:w="1728"/>
          </w:tcPr>
          <w:p>
            <w:r>
              <w:t>Tier 2</w:t>
            </w:r>
          </w:p>
        </w:tc>
        <w:tc>
          <w:tcPr>
            <w:tcW w:type="dxa" w:w="1728"/>
          </w:tcPr>
          <w:p>
            <w:r>
              <w:t>232</w:t>
            </w:r>
          </w:p>
        </w:tc>
        <w:tc>
          <w:tcPr>
            <w:tcW w:type="dxa" w:w="1728"/>
          </w:tcPr>
          <w:p>
            <w:r>
              <w:t>$5,002,395</w:t>
            </w:r>
          </w:p>
        </w:tc>
        <w:tc>
          <w:tcPr>
            <w:tcW w:type="dxa" w:w="1728"/>
          </w:tcPr>
          <w:p>
            <w:r>
              <w:t>$7,715,986</w:t>
            </w:r>
          </w:p>
        </w:tc>
        <w:tc>
          <w:tcPr>
            <w:tcW w:type="dxa" w:w="1728"/>
          </w:tcPr>
          <w:p>
            <w:r>
              <w:t>7.80%</w:t>
            </w:r>
          </w:p>
        </w:tc>
      </w:tr>
      <w:tr>
        <w:tc>
          <w:tcPr>
            <w:tcW w:type="dxa" w:w="1728"/>
          </w:tcPr>
          <w:p>
            <w:r>
              <w:t>Tier 3</w:t>
            </w:r>
          </w:p>
        </w:tc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$3,260,240</w:t>
            </w:r>
          </w:p>
        </w:tc>
        <w:tc>
          <w:tcPr>
            <w:tcW w:type="dxa" w:w="1728"/>
          </w:tcPr>
          <w:p>
            <w:r>
              <w:t>$4,285,776</w:t>
            </w:r>
          </w:p>
        </w:tc>
        <w:tc>
          <w:tcPr>
            <w:tcW w:type="dxa" w:w="1728"/>
          </w:tcPr>
          <w:p>
            <w:r>
              <w:t>8.23%</w:t>
            </w:r>
          </w:p>
        </w:tc>
      </w:tr>
      <w:tr>
        <w:tc>
          <w:tcPr>
            <w:tcW w:type="dxa" w:w="1728"/>
          </w:tcPr>
          <w:p>
            <w:r>
              <w:t>Tier 4</w:t>
            </w:r>
          </w:p>
        </w:tc>
        <w:tc>
          <w:tcPr>
            <w:tcW w:type="dxa" w:w="1728"/>
          </w:tcPr>
          <w:p>
            <w:r>
              <w:t>205</w:t>
            </w:r>
          </w:p>
        </w:tc>
        <w:tc>
          <w:tcPr>
            <w:tcW w:type="dxa" w:w="1728"/>
          </w:tcPr>
          <w:p>
            <w:r>
              <w:t>$6,793,752</w:t>
            </w:r>
          </w:p>
        </w:tc>
        <w:tc>
          <w:tcPr>
            <w:tcW w:type="dxa" w:w="1728"/>
          </w:tcPr>
          <w:p>
            <w:r>
              <w:t>$7,816,493</w:t>
            </w:r>
          </w:p>
        </w:tc>
        <w:tc>
          <w:tcPr>
            <w:tcW w:type="dxa" w:w="1728"/>
          </w:tcPr>
          <w:p>
            <w:r>
              <w:t>9.05%</w:t>
            </w:r>
          </w:p>
        </w:tc>
      </w:tr>
      <w:tr>
        <w:tc>
          <w:tcPr>
            <w:tcW w:type="dxa" w:w="1728"/>
          </w:tcPr>
          <w:p>
            <w:r>
              <w:t>Tier 5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$6,760,926</w:t>
            </w:r>
          </w:p>
        </w:tc>
        <w:tc>
          <w:tcPr>
            <w:tcW w:type="dxa" w:w="1728"/>
          </w:tcPr>
          <w:p>
            <w:r>
              <w:t>$4,664,108</w:t>
            </w:r>
          </w:p>
        </w:tc>
        <w:tc>
          <w:tcPr>
            <w:tcW w:type="dxa" w:w="1728"/>
          </w:tcPr>
          <w:p>
            <w:r>
              <w:t>9.09%</w:t>
            </w:r>
          </w:p>
        </w:tc>
      </w:tr>
      <w:tr>
        <w:tc>
          <w:tcPr>
            <w:tcW w:type="dxa" w:w="1728"/>
          </w:tcPr>
          <w:p>
            <w:r>
              <w:t>Tier 6</w:t>
            </w:r>
          </w:p>
        </w:tc>
        <w:tc>
          <w:tcPr>
            <w:tcW w:type="dxa" w:w="1728"/>
          </w:tcPr>
          <w:p>
            <w:r>
              <w:t>490</w:t>
            </w:r>
          </w:p>
        </w:tc>
        <w:tc>
          <w:tcPr>
            <w:tcW w:type="dxa" w:w="1728"/>
          </w:tcPr>
          <w:p>
            <w:r>
              <w:t>$46,796,025</w:t>
            </w:r>
          </w:p>
        </w:tc>
        <w:tc>
          <w:tcPr>
            <w:tcW w:type="dxa" w:w="1728"/>
          </w:tcPr>
          <w:p>
            <w:r>
              <w:t>$15,592,937</w:t>
            </w:r>
          </w:p>
        </w:tc>
        <w:tc>
          <w:tcPr>
            <w:tcW w:type="dxa" w:w="1728"/>
          </w:tcPr>
          <w:p>
            <w:r>
              <w:t>7.24%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