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3 — Notebook 02: Credit Bureau Behavioral Segmentation</w:t>
      </w:r>
    </w:p>
    <w:p>
      <w:pPr>
        <w:jc w:val="center"/>
      </w:pPr>
      <w:r>
        <w:rPr>
          <w:i/>
          <w:color w:val="595959"/>
          <w:sz w:val="22"/>
        </w:rPr>
        <w:t>Real K-Means clustering, k=7 (data-driven) — independent of PD level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4,000 real applicants; 3,598 (90.0%) have real bureau history.</w:t>
      </w:r>
    </w:p>
    <w:p>
      <w:pPr>
        <w:pStyle w:val="ListBullet"/>
      </w:pPr>
      <w:r>
        <w:t>7 real data-driven behavioral segments found (silhouette=0.153).</w:t>
      </w:r>
    </w:p>
    <w:p>
      <w:pPr>
        <w:pStyle w:val="ListBullet"/>
      </w:pPr>
      <w:r>
        <w:t>Statistical robustness verdict: NOT YET STATISTICALLY ROBUST — failed: chi_square_significant, cramers_v_ci_excludes_zero (a separate, stricter statistical-significance gate, distinct from the structural pipeline integrity checks reported elsewhere in this notebook's output)</w:t>
      </w:r>
    </w:p>
    <w:p>
      <w:pPr>
        <w:pStyle w:val="ListBullet"/>
      </w:pPr>
      <w:r>
        <w:t>Cross-axis independence from Problem 1's Risk Tier: Cramer's V=0.0492.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7 real, data-driven bureau behavioral segments found (silhouette=0.153)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Real default rate spans 13.2% to 19.9% across 8 real bureau behavioral segments (chi-square p=0.4526, Cramer's V=0.0412, 95% bootstrap CI [0.0320, 0.0821]).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3,598 of 4,000 real applicants (90.0%) clustered; 402 real applicants with no bureau history reported as their own explicit segment.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Computed end-to-end in 4.5s.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a collections or portfolio-management team a real behavioral axis independent of PD level to differentiate treatment by.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Notebook 01 re-run (refreshes PD/TARGET/RISK_TIER) or when new real bureau data becomes available.</w:t>
      </w:r>
    </w:p>
    <w:p/>
    <w:p>
      <w:pPr>
        <w:pStyle w:val="Heading1"/>
      </w:pPr>
      <w:r>
        <w:rPr>
          <w:color w:val="2A78D6"/>
        </w:rPr>
        <w:t>Real Default Rate by Bureau Behavioral Segment</w:t>
      </w:r>
    </w:p>
    <w:p>
      <w:r>
        <w:t>Real default rate and real population per segment, including applicants with no real bureau history as their own explicit segment.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Mean Overdue-Credit Share</w:t>
            </w:r>
          </w:p>
        </w:tc>
      </w:tr>
      <w:tr>
        <w:tc>
          <w:tcPr>
            <w:tcW w:type="dxa" w:w="2160"/>
          </w:tcPr>
          <w:p>
            <w:r>
              <w:t>Behavior Segment A</w:t>
            </w:r>
          </w:p>
        </w:tc>
        <w:tc>
          <w:tcPr>
            <w:tcW w:type="dxa" w:w="2160"/>
          </w:tcPr>
          <w:p>
            <w:r>
              <w:t>317</w:t>
            </w:r>
          </w:p>
        </w:tc>
        <w:tc>
          <w:tcPr>
            <w:tcW w:type="dxa" w:w="2160"/>
          </w:tcPr>
          <w:p>
            <w:r>
              <w:t>16.72%</w:t>
            </w:r>
          </w:p>
        </w:tc>
        <w:tc>
          <w:tcPr>
            <w:tcW w:type="dxa" w:w="2160"/>
          </w:tcPr>
          <w:p>
            <w:r>
              <w:t>2.6%</w:t>
            </w:r>
          </w:p>
        </w:tc>
      </w:tr>
      <w:tr>
        <w:tc>
          <w:tcPr>
            <w:tcW w:type="dxa" w:w="2160"/>
          </w:tcPr>
          <w:p>
            <w:r>
              <w:t>Behavior Segment B</w:t>
            </w:r>
          </w:p>
        </w:tc>
        <w:tc>
          <w:tcPr>
            <w:tcW w:type="dxa" w:w="2160"/>
          </w:tcPr>
          <w:p>
            <w:r>
              <w:t>777</w:t>
            </w:r>
          </w:p>
        </w:tc>
        <w:tc>
          <w:tcPr>
            <w:tcW w:type="dxa" w:w="2160"/>
          </w:tcPr>
          <w:p>
            <w:r>
              <w:t>16.47%</w:t>
            </w:r>
          </w:p>
        </w:tc>
        <w:tc>
          <w:tcPr>
            <w:tcW w:type="dxa" w:w="2160"/>
          </w:tcPr>
          <w:p>
            <w:r>
              <w:t>0.3%</w:t>
            </w:r>
          </w:p>
        </w:tc>
      </w:tr>
      <w:tr>
        <w:tc>
          <w:tcPr>
            <w:tcW w:type="dxa" w:w="2160"/>
          </w:tcPr>
          <w:p>
            <w:r>
              <w:t>Behavior Segment C</w:t>
            </w:r>
          </w:p>
        </w:tc>
        <w:tc>
          <w:tcPr>
            <w:tcW w:type="dxa" w:w="2160"/>
          </w:tcPr>
          <w:p>
            <w:r>
              <w:t>462</w:t>
            </w:r>
          </w:p>
        </w:tc>
        <w:tc>
          <w:tcPr>
            <w:tcW w:type="dxa" w:w="2160"/>
          </w:tcPr>
          <w:p>
            <w:r>
              <w:t>16.88%</w:t>
            </w:r>
          </w:p>
        </w:tc>
        <w:tc>
          <w:tcPr>
            <w:tcW w:type="dxa" w:w="2160"/>
          </w:tcPr>
          <w:p>
            <w:r>
              <w:t>0.3%</w:t>
            </w:r>
          </w:p>
        </w:tc>
      </w:tr>
      <w:tr>
        <w:tc>
          <w:tcPr>
            <w:tcW w:type="dxa" w:w="2160"/>
          </w:tcPr>
          <w:p>
            <w:r>
              <w:t>Behavior Segment D</w:t>
            </w:r>
          </w:p>
        </w:tc>
        <w:tc>
          <w:tcPr>
            <w:tcW w:type="dxa" w:w="2160"/>
          </w:tcPr>
          <w:p>
            <w:r>
              <w:t>955</w:t>
            </w:r>
          </w:p>
        </w:tc>
        <w:tc>
          <w:tcPr>
            <w:tcW w:type="dxa" w:w="2160"/>
          </w:tcPr>
          <w:p>
            <w:r>
              <w:t>17.07%</w:t>
            </w:r>
          </w:p>
        </w:tc>
        <w:tc>
          <w:tcPr>
            <w:tcW w:type="dxa" w:w="2160"/>
          </w:tcPr>
          <w:p>
            <w:r>
              <w:t>1.8%</w:t>
            </w:r>
          </w:p>
        </w:tc>
      </w:tr>
      <w:tr>
        <w:tc>
          <w:tcPr>
            <w:tcW w:type="dxa" w:w="2160"/>
          </w:tcPr>
          <w:p>
            <w:r>
              <w:t>Behavior Segment E</w:t>
            </w:r>
          </w:p>
        </w:tc>
        <w:tc>
          <w:tcPr>
            <w:tcW w:type="dxa" w:w="2160"/>
          </w:tcPr>
          <w:p>
            <w:r>
              <w:t>447</w:t>
            </w:r>
          </w:p>
        </w:tc>
        <w:tc>
          <w:tcPr>
            <w:tcW w:type="dxa" w:w="2160"/>
          </w:tcPr>
          <w:p>
            <w:r>
              <w:t>19.91%</w:t>
            </w:r>
          </w:p>
        </w:tc>
        <w:tc>
          <w:tcPr>
            <w:tcW w:type="dxa" w:w="2160"/>
          </w:tcPr>
          <w:p>
            <w:r>
              <w:t>0.4%</w:t>
            </w:r>
          </w:p>
        </w:tc>
      </w:tr>
      <w:tr>
        <w:tc>
          <w:tcPr>
            <w:tcW w:type="dxa" w:w="2160"/>
          </w:tcPr>
          <w:p>
            <w:r>
              <w:t>Behavior Segment F</w:t>
            </w:r>
          </w:p>
        </w:tc>
        <w:tc>
          <w:tcPr>
            <w:tcW w:type="dxa" w:w="2160"/>
          </w:tcPr>
          <w:p>
            <w:r>
              <w:t>330</w:t>
            </w:r>
          </w:p>
        </w:tc>
        <w:tc>
          <w:tcPr>
            <w:tcW w:type="dxa" w:w="2160"/>
          </w:tcPr>
          <w:p>
            <w:r>
              <w:t>16.67%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Behavior Segment G</w:t>
            </w:r>
          </w:p>
        </w:tc>
        <w:tc>
          <w:tcPr>
            <w:tcW w:type="dxa" w:w="2160"/>
          </w:tcPr>
          <w:p>
            <w:r>
              <w:t>310</w:t>
            </w:r>
          </w:p>
        </w:tc>
        <w:tc>
          <w:tcPr>
            <w:tcW w:type="dxa" w:w="2160"/>
          </w:tcPr>
          <w:p>
            <w:r>
              <w:t>13.23%</w:t>
            </w:r>
          </w:p>
        </w:tc>
        <w:tc>
          <w:tcPr>
            <w:tcW w:type="dxa" w:w="2160"/>
          </w:tcPr>
          <w:p>
            <w:r>
              <w:t>45.7%</w:t>
            </w:r>
          </w:p>
        </w:tc>
      </w:tr>
      <w:tr>
        <w:tc>
          <w:tcPr>
            <w:tcW w:type="dxa" w:w="2160"/>
          </w:tcPr>
          <w:p>
            <w:r>
              <w:t>No Bureau History</w:t>
            </w:r>
          </w:p>
        </w:tc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18.66%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43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bureau_segm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default rate spans 13.2% to 19.9% across 8 real bureau behavioral segments (chi-square p=0.4526, Cramer's V=0.0412, 95% bootstrap CI [0.0320, 0.0821]).</w:t>
      </w:r>
    </w:p>
    <w:p>
      <w:r>
        <w:rPr>
          <w:i/>
          <w:color w:val="595959"/>
        </w:rPr>
        <w:t>Cross-check against Problem 1's Risk Tier: Cramer's V=0.0492 -- these are genuinely different real segmentation axes, not a relabeling.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