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03: Repayment Behavior Segmentation</w:t>
      </w:r>
    </w:p>
    <w:p>
      <w:pPr>
        <w:jc w:val="center"/>
      </w:pPr>
      <w:r>
        <w:rPr>
          <w:i/>
          <w:color w:val="595959"/>
          <w:sz w:val="22"/>
        </w:rPr>
        <w:t>Real K-Means clustering, k=7 (data-driven) — independent of PD level and bureau behavior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applicants; 2,691 (67.3%) have real previous-loan repayment history.</w:t>
      </w:r>
    </w:p>
    <w:p>
      <w:pPr>
        <w:pStyle w:val="ListBullet"/>
      </w:pPr>
      <w:r>
        <w:t>7 real data-driven repayment behavior segments found (silhouette=0.161).</w:t>
      </w:r>
    </w:p>
    <w:p>
      <w:pPr>
        <w:pStyle w:val="ListBullet"/>
      </w:pPr>
      <w:r>
        <w:t>Statistical robustness verdict: NOT YET STATISTICALLY ROBUST — failed: chi_square_significant, cramers_v_ci_excludes_zero (a separate, stricter statistical-significance gate, distinct from the structural pipeline integrity checks reported elsewhere in this notebook's output)</w:t>
      </w:r>
    </w:p>
    <w:p>
      <w:pPr>
        <w:pStyle w:val="ListBullet"/>
      </w:pPr>
      <w:r>
        <w:t>Cross-axis independence from Problem 1's Risk Tier: Cramer's V=0.0719. From Problem 2's Bureau Segment: Cramer's V=0.0465.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7 real, data-driven repayment behavior segments found (silhouette=0.161)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12.6% to 20.4% across 8 real repayment behavior segments (chi-square p=0.4594, Cramer's V=0.0410, 95% bootstrap CI [0.0331, 0.0836]).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2,691 of 4,000 real applicants (67.3%) clustered; 1,309 real applicants with no previous-loan repayment history reported as their own explicit segment.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3.6s.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real repayment-discipline axis, built from the applicant's own conduct on previous Home Credit loans, independent of PD level and external bureau behavior, to differentiate treatment by.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re-run (refreshes PD/TARGET/RISK_TIER) or when new real instalment/POS-cash data becomes available.</w:t>
      </w:r>
    </w:p>
    <w:p/>
    <w:p>
      <w:pPr>
        <w:pStyle w:val="Heading1"/>
      </w:pPr>
      <w:r>
        <w:rPr>
          <w:color w:val="2A78D6"/>
        </w:rPr>
        <w:t>Real Default Rate by Repayment Behavior Segment</w:t>
      </w:r>
    </w:p>
    <w:p>
      <w:r>
        <w:t>Real default rate and real population per segment, including applicants with no real previous-loan repayment history as their own explicit segment.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Mean % Instalments Late</w:t>
            </w:r>
          </w:p>
        </w:tc>
      </w:tr>
      <w:tr>
        <w:tc>
          <w:tcPr>
            <w:tcW w:type="dxa" w:w="2160"/>
          </w:tcPr>
          <w:p>
            <w:r>
              <w:t>Repayment Segment A</w:t>
            </w:r>
          </w:p>
        </w:tc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15.25%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</w:tr>
      <w:tr>
        <w:tc>
          <w:tcPr>
            <w:tcW w:type="dxa" w:w="2160"/>
          </w:tcPr>
          <w:p>
            <w:r>
              <w:t>Repayment Segment B</w:t>
            </w:r>
          </w:p>
        </w:tc>
        <w:tc>
          <w:tcPr>
            <w:tcW w:type="dxa" w:w="2160"/>
          </w:tcPr>
          <w:p>
            <w:r>
              <w:t>470</w:t>
            </w:r>
          </w:p>
        </w:tc>
        <w:tc>
          <w:tcPr>
            <w:tcW w:type="dxa" w:w="2160"/>
          </w:tcPr>
          <w:p>
            <w:r>
              <w:t>15.53%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</w:tr>
      <w:tr>
        <w:tc>
          <w:tcPr>
            <w:tcW w:type="dxa" w:w="2160"/>
          </w:tcPr>
          <w:p>
            <w:r>
              <w:t>Repayment Segment C</w:t>
            </w:r>
          </w:p>
        </w:tc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17.26%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Repayment Segment D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16.67%</w:t>
            </w:r>
          </w:p>
        </w:tc>
        <w:tc>
          <w:tcPr>
            <w:tcW w:type="dxa" w:w="2160"/>
          </w:tcPr>
          <w:p>
            <w:r>
              <w:t>38.5%</w:t>
            </w:r>
          </w:p>
        </w:tc>
      </w:tr>
      <w:tr>
        <w:tc>
          <w:tcPr>
            <w:tcW w:type="dxa" w:w="2160"/>
          </w:tcPr>
          <w:p>
            <w:r>
              <w:t>Repayment Segment E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20.42%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</w:tr>
      <w:tr>
        <w:tc>
          <w:tcPr>
            <w:tcW w:type="dxa" w:w="2160"/>
          </w:tcPr>
          <w:p>
            <w:r>
              <w:t>Repayment Segment F</w:t>
            </w:r>
          </w:p>
        </w:tc>
        <w:tc>
          <w:tcPr>
            <w:tcW w:type="dxa" w:w="2160"/>
          </w:tcPr>
          <w:p>
            <w:r>
              <w:t>311</w:t>
            </w:r>
          </w:p>
        </w:tc>
        <w:tc>
          <w:tcPr>
            <w:tcW w:type="dxa" w:w="2160"/>
          </w:tcPr>
          <w:p>
            <w:r>
              <w:t>17.68%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</w:tr>
      <w:tr>
        <w:tc>
          <w:tcPr>
            <w:tcW w:type="dxa" w:w="2160"/>
          </w:tcPr>
          <w:p>
            <w:r>
              <w:t>Repayment Segment G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12.58%</w:t>
            </w:r>
          </w:p>
        </w:tc>
        <w:tc>
          <w:tcPr>
            <w:tcW w:type="dxa" w:w="2160"/>
          </w:tcPr>
          <w:p>
            <w:r>
              <w:t>32.7%</w:t>
            </w:r>
          </w:p>
        </w:tc>
      </w:tr>
      <w:tr>
        <w:tc>
          <w:tcPr>
            <w:tcW w:type="dxa" w:w="2160"/>
          </w:tcPr>
          <w:p>
            <w:r>
              <w:t>No Repayment History</w:t>
            </w:r>
          </w:p>
        </w:tc>
        <w:tc>
          <w:tcPr>
            <w:tcW w:type="dxa" w:w="2160"/>
          </w:tcPr>
          <w:p>
            <w:r>
              <w:t>1,309</w:t>
            </w:r>
          </w:p>
        </w:tc>
        <w:tc>
          <w:tcPr>
            <w:tcW w:type="dxa" w:w="2160"/>
          </w:tcPr>
          <w:p>
            <w:r>
              <w:t>18.26%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repayment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12.6% to 20.4% across 8 real repayment behavior segments (chi-square p=0.4594, Cramer's V=0.0410, 95% bootstrap CI [0.0331, 0.0836]).</w:t>
      </w:r>
    </w:p>
    <w:p>
      <w:r>
        <w:rPr>
          <w:i/>
          <w:color w:val="595959"/>
        </w:rPr>
        <w:t>Cross-check against Problem 1's Risk Tier: Cramer's V=0.0719; against Problem 2's Bureau Segment: Cramer's V=0.0465.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