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04: Revolving Credit Utilization Segmentation</w:t>
      </w:r>
    </w:p>
    <w:p>
      <w:pPr>
        <w:jc w:val="center"/>
      </w:pPr>
      <w:r>
        <w:rPr>
          <w:i/>
          <w:color w:val="595959"/>
          <w:sz w:val="22"/>
        </w:rPr>
        <w:t>Real K-Means clustering, k=7 (data-driven) — independent of PD level, bureau behavior, and repayment conduct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applicants; 1,034 (25.9%) have real previous-loan revolving-credit history.</w:t>
      </w:r>
    </w:p>
    <w:p>
      <w:pPr>
        <w:pStyle w:val="ListBullet"/>
      </w:pPr>
      <w:r>
        <w:t>7 real data-driven utilization segments found (silhouette=0.184).</w:t>
      </w:r>
    </w:p>
    <w:p>
      <w:pPr>
        <w:pStyle w:val="ListBullet"/>
      </w:pPr>
      <w:r>
        <w:t>Statistical robustness verdict: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ListBullet"/>
      </w:pPr>
      <w:r>
        <w:t>Cross-axis independence from Problem 1's Risk Tier: Cramer's V=0.0505. From Problem 2's Bureau Segment: Cramer's V=0.0433. From Problem 3's Repayment Segment: Cramer's V=0.1300.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7 real, data-driven revolving-credit utilization segments found (silhouette=0.184)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 rate spans 12.5% to 18.5% across 8 real revolving-credit utilization segments (chi-square p=0.9492, Cramer's V=0.0233, 95% bootstrap CI [0.0225, 0.0697]).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1,034 of 4,000 real applicants (25.9%) clustered; 2,966 real applicants with no previous-loan revolving-credit history reported as their own explicit segment.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1.6s.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real revolving-credit-usage axis, built from the applicant's own conduct on previous Home Credit credit-card loans, independent of PD level, external bureau behavior, and instalment-loan repayment conduct, to differentiate treatment by.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re-run (refreshes PD/TARGET/RISK_TIER) or when new real credit-card data becomes available.</w:t>
      </w:r>
    </w:p>
    <w:p/>
    <w:p>
      <w:pPr>
        <w:pStyle w:val="Heading1"/>
      </w:pPr>
      <w:r>
        <w:rPr>
          <w:color w:val="2A78D6"/>
        </w:rPr>
        <w:t>Real Default Rate by Utilization Segment</w:t>
      </w:r>
    </w:p>
    <w:p>
      <w:r>
        <w:t>Real default rate and real population per segment, including applicants with no real previous-loan revolving-credit history as their own explicit segment.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Utilization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% Months Any Cash Advance</w:t>
            </w:r>
          </w:p>
        </w:tc>
      </w:tr>
      <w:tr>
        <w:tc>
          <w:tcPr>
            <w:tcW w:type="dxa" w:w="1728"/>
          </w:tcPr>
          <w:p>
            <w:r>
              <w:t>Utilization Segment A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18.46%</w:t>
            </w:r>
          </w:p>
        </w:tc>
        <w:tc>
          <w:tcPr>
            <w:tcW w:type="dxa" w:w="1728"/>
          </w:tcPr>
          <w:p>
            <w:r>
              <w:t>50.2%</w:t>
            </w:r>
          </w:p>
        </w:tc>
        <w:tc>
          <w:tcPr>
            <w:tcW w:type="dxa" w:w="1728"/>
          </w:tcPr>
          <w:p>
            <w:r>
              <w:t>21.2%</w:t>
            </w:r>
          </w:p>
        </w:tc>
      </w:tr>
      <w:tr>
        <w:tc>
          <w:tcPr>
            <w:tcW w:type="dxa" w:w="1728"/>
          </w:tcPr>
          <w:p>
            <w:r>
              <w:t>Utilization Segment B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16.76%</w:t>
            </w:r>
          </w:p>
        </w:tc>
        <w:tc>
          <w:tcPr>
            <w:tcW w:type="dxa" w:w="1728"/>
          </w:tcPr>
          <w:p>
            <w:r>
              <w:t>51.1%</w:t>
            </w:r>
          </w:p>
        </w:tc>
        <w:tc>
          <w:tcPr>
            <w:tcW w:type="dxa" w:w="1728"/>
          </w:tcPr>
          <w:p>
            <w:r>
              <w:t>42.3%</w:t>
            </w:r>
          </w:p>
        </w:tc>
      </w:tr>
      <w:tr>
        <w:tc>
          <w:tcPr>
            <w:tcW w:type="dxa" w:w="1728"/>
          </w:tcPr>
          <w:p>
            <w:r>
              <w:t>Utilization Segment C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16.03%</w:t>
            </w:r>
          </w:p>
        </w:tc>
        <w:tc>
          <w:tcPr>
            <w:tcW w:type="dxa" w:w="1728"/>
          </w:tcPr>
          <w:p>
            <w:r>
              <w:t>53.2%</w:t>
            </w:r>
          </w:p>
        </w:tc>
        <w:tc>
          <w:tcPr>
            <w:tcW w:type="dxa" w:w="1728"/>
          </w:tcPr>
          <w:p>
            <w:r>
              <w:t>13.0%</w:t>
            </w:r>
          </w:p>
        </w:tc>
      </w:tr>
      <w:tr>
        <w:tc>
          <w:tcPr>
            <w:tcW w:type="dxa" w:w="1728"/>
          </w:tcPr>
          <w:p>
            <w:r>
              <w:t>Utilization Segment D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  <w:tc>
          <w:tcPr>
            <w:tcW w:type="dxa" w:w="1728"/>
          </w:tcPr>
          <w:p>
            <w:r>
              <w:t>41.6%</w:t>
            </w:r>
          </w:p>
        </w:tc>
        <w:tc>
          <w:tcPr>
            <w:tcW w:type="dxa" w:w="1728"/>
          </w:tcPr>
          <w:p>
            <w:r>
              <w:t>18.7%</w:t>
            </w:r>
          </w:p>
        </w:tc>
      </w:tr>
      <w:tr>
        <w:tc>
          <w:tcPr>
            <w:tcW w:type="dxa" w:w="1728"/>
          </w:tcPr>
          <w:p>
            <w:r>
              <w:t>Utilization Segment E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16.22%</w:t>
            </w:r>
          </w:p>
        </w:tc>
        <w:tc>
          <w:tcPr>
            <w:tcW w:type="dxa" w:w="1728"/>
          </w:tcPr>
          <w:p>
            <w:r>
              <w:t>48.9%</w:t>
            </w:r>
          </w:p>
        </w:tc>
        <w:tc>
          <w:tcPr>
            <w:tcW w:type="dxa" w:w="1728"/>
          </w:tcPr>
          <w:p>
            <w:r>
              <w:t>27.7%</w:t>
            </w:r>
          </w:p>
        </w:tc>
      </w:tr>
      <w:tr>
        <w:tc>
          <w:tcPr>
            <w:tcW w:type="dxa" w:w="1728"/>
          </w:tcPr>
          <w:p>
            <w:r>
              <w:t>Utilization Segment F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12.79%</w:t>
            </w:r>
          </w:p>
        </w:tc>
        <w:tc>
          <w:tcPr>
            <w:tcW w:type="dxa" w:w="1728"/>
          </w:tcPr>
          <w:p>
            <w:r>
              <w:t>32.1%</w:t>
            </w:r>
          </w:p>
        </w:tc>
        <w:tc>
          <w:tcPr>
            <w:tcW w:type="dxa" w:w="1728"/>
          </w:tcPr>
          <w:p>
            <w:r>
              <w:t>7.0%</w:t>
            </w:r>
          </w:p>
        </w:tc>
      </w:tr>
      <w:tr>
        <w:tc>
          <w:tcPr>
            <w:tcW w:type="dxa" w:w="1728"/>
          </w:tcPr>
          <w:p>
            <w:r>
              <w:t>Utilization Segment G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17.62%</w:t>
            </w:r>
          </w:p>
        </w:tc>
        <w:tc>
          <w:tcPr>
            <w:tcW w:type="dxa" w:w="1728"/>
          </w:tcPr>
          <w:p>
            <w:r>
              <w:t>51.5%</w:t>
            </w:r>
          </w:p>
        </w:tc>
        <w:tc>
          <w:tcPr>
            <w:tcW w:type="dxa" w:w="1728"/>
          </w:tcPr>
          <w:p>
            <w:r>
              <w:t>19.2%</w:t>
            </w:r>
          </w:p>
        </w:tc>
      </w:tr>
      <w:tr>
        <w:tc>
          <w:tcPr>
            <w:tcW w:type="dxa" w:w="1728"/>
          </w:tcPr>
          <w:p>
            <w:r>
              <w:t>No Revolving Credit History</w:t>
            </w:r>
          </w:p>
        </w:tc>
        <w:tc>
          <w:tcPr>
            <w:tcW w:type="dxa" w:w="1728"/>
          </w:tcPr>
          <w:p>
            <w:r>
              <w:t>2,966</w:t>
            </w:r>
          </w:p>
        </w:tc>
        <w:tc>
          <w:tcPr>
            <w:tcW w:type="dxa" w:w="1728"/>
          </w:tcPr>
          <w:p>
            <w:r>
              <w:t>17.26%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 rate spans 12.5% to 18.5% across 8 real revolving-credit utilization segments (chi-square p=0.9492, Cramer's V=0.0233, 95% bootstrap CI [0.0225, 0.0697]).</w:t>
      </w:r>
    </w:p>
    <w:p>
      <w:r>
        <w:rPr>
          <w:i/>
          <w:color w:val="595959"/>
        </w:rPr>
        <w:t>Cross-check against Problem 1's Risk Tier: Cramer's V=0.0505; against Problem 2's Bureau Segment: Cramer's V=0.0433; against Problem 3's Repayment Segment: Cramer's V=0.1300.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