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3 — Notebook 05: Cross-Axis Risk-Return Synthesis</w:t>
      </w:r>
    </w:p>
    <w:p>
      <w:pPr>
        <w:jc w:val="center"/>
      </w:pPr>
      <w:r>
        <w:rPr>
          <w:i/>
          <w:color w:val="595959"/>
          <w:sz w:val="22"/>
        </w:rPr>
        <w:t>4 real segmentation axis(es), no new modeling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4,000 real applicants synthesized across 4 real segmentation axis(es): Risk Tier, Bureau Segment, Repayment Segment, Utilization Segment.</w:t>
      </w:r>
    </w:p>
    <w:p>
      <w:pPr>
        <w:pStyle w:val="ListBullet"/>
      </w:pPr>
      <w:r>
        <w:t>Widest real risk differentiation: Risk Tier (97.97% spread).</w:t>
      </w:r>
    </w:p>
    <w:p>
      <w:pPr>
        <w:pStyle w:val="ListBullet"/>
      </w:pPr>
      <w:r>
        <w:t>Synthesis verdict: SYNTHESIS VALIDATED — CAPITAL TRACKS RISK AS EXPECTED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Risk Tier differentiates real risk most sharply (97.97% default-rate spread across 6 real segments)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Real default-rate spread by axis (widest to narrowest): Risk Tier=97.97%, Repayment Segment=7.84%, Bureau Segment=6.68%, Utilization Segment=5.96%.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4 real segmentation axis(es) synthesized across 4,000 real applicants; real capital enrichment included.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Computed end-to-end in 0.9s from already-produced real outputs -- no new modeling, no raw data re-read.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a collections or portfolio-management team a single, honest cross-axis view of which real segmentation (risk level, external bureau behavior, instalment repayment conduct, or revolving-credit usage) most sharply separates real risk and real capital consumption, to prioritize which axis to act on.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upstream notebook (Notebook 01, MP2 Notebook 01, or this project's Notebooks 02-04) re-run refreshes its real output.</w:t>
      </w:r>
    </w:p>
    <w:p/>
    <w:p>
      <w:pPr>
        <w:pStyle w:val="Heading1"/>
      </w:pPr>
      <w:r>
        <w:rPr>
          <w:color w:val="2A78D6"/>
        </w:rPr>
        <w:t>Real Cross-Axis Risk-Return Summary</w:t>
      </w:r>
    </w:p>
    <w:p>
      <w:r>
        <w:t>Real default-rate (and, when available, real capital-rate) spread per real segmentation axis -- the wider the spread, the more sharply that axis differentiates real risk.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axis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n_segments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default_rate_min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default_rate_max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default_rate_spread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capital_rate_min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capital_rate_max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capital_rate_spread</w:t>
            </w:r>
          </w:p>
        </w:tc>
      </w:tr>
      <w:tr>
        <w:tc>
          <w:tcPr>
            <w:tcW w:type="dxa" w:w="1080"/>
          </w:tcPr>
          <w:p>
            <w:r>
              <w:t>Risk Tier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0.01625441696113074</w:t>
            </w:r>
          </w:p>
        </w:tc>
        <w:tc>
          <w:tcPr>
            <w:tcW w:type="dxa" w:w="1080"/>
          </w:tcPr>
          <w:p>
            <w:r>
              <w:t>0.9959183673469387</w:t>
            </w:r>
          </w:p>
        </w:tc>
        <w:tc>
          <w:tcPr>
            <w:tcW w:type="dxa" w:w="1080"/>
          </w:tcPr>
          <w:p>
            <w:r>
              <w:t>0.979663950385808</w:t>
            </w:r>
          </w:p>
        </w:tc>
        <w:tc>
          <w:tcPr>
            <w:tcW w:type="dxa" w:w="1080"/>
          </w:tcPr>
          <w:p>
            <w:r>
              <w:t>0.056420238174608346</w:t>
            </w:r>
          </w:p>
        </w:tc>
        <w:tc>
          <w:tcPr>
            <w:tcW w:type="dxa" w:w="1080"/>
          </w:tcPr>
          <w:p>
            <w:r>
              <w:t>0.09085477622222823</w:t>
            </w:r>
          </w:p>
        </w:tc>
        <w:tc>
          <w:tcPr>
            <w:tcW w:type="dxa" w:w="1080"/>
          </w:tcPr>
          <w:p>
            <w:r>
              <w:t>0.03443453804761989</w:t>
            </w:r>
          </w:p>
        </w:tc>
      </w:tr>
      <w:tr>
        <w:tc>
          <w:tcPr>
            <w:tcW w:type="dxa" w:w="1080"/>
          </w:tcPr>
          <w:p>
            <w:r>
              <w:t>Repayment Segment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0.12578616352201258</w:t>
            </w:r>
          </w:p>
        </w:tc>
        <w:tc>
          <w:tcPr>
            <w:tcW w:type="dxa" w:w="1080"/>
          </w:tcPr>
          <w:p>
            <w:r>
              <w:t>0.20422535211267606</w:t>
            </w:r>
          </w:p>
        </w:tc>
        <w:tc>
          <w:tcPr>
            <w:tcW w:type="dxa" w:w="1080"/>
          </w:tcPr>
          <w:p>
            <w:r>
              <w:t>0.07843918859066348</w:t>
            </w:r>
          </w:p>
        </w:tc>
        <w:tc>
          <w:tcPr>
            <w:tcW w:type="dxa" w:w="1080"/>
          </w:tcPr>
          <w:p>
            <w:r>
              <w:t>0.057068551805491315</w:t>
            </w:r>
          </w:p>
        </w:tc>
        <w:tc>
          <w:tcPr>
            <w:tcW w:type="dxa" w:w="1080"/>
          </w:tcPr>
          <w:p>
            <w:r>
              <w:t>0.0663046893909398</w:t>
            </w:r>
          </w:p>
        </w:tc>
        <w:tc>
          <w:tcPr>
            <w:tcW w:type="dxa" w:w="1080"/>
          </w:tcPr>
          <w:p>
            <w:r>
              <w:t>0.00923613758544848</w:t>
            </w:r>
          </w:p>
        </w:tc>
      </w:tr>
      <w:tr>
        <w:tc>
          <w:tcPr>
            <w:tcW w:type="dxa" w:w="1080"/>
          </w:tcPr>
          <w:p>
            <w:r>
              <w:t>Bureau Segment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0.13225806451612904</w:t>
            </w:r>
          </w:p>
        </w:tc>
        <w:tc>
          <w:tcPr>
            <w:tcW w:type="dxa" w:w="1080"/>
          </w:tcPr>
          <w:p>
            <w:r>
              <w:t>0.19910514541387025</w:t>
            </w:r>
          </w:p>
        </w:tc>
        <w:tc>
          <w:tcPr>
            <w:tcW w:type="dxa" w:w="1080"/>
          </w:tcPr>
          <w:p>
            <w:r>
              <w:t>0.06684708089774122</w:t>
            </w:r>
          </w:p>
        </w:tc>
        <w:tc>
          <w:tcPr>
            <w:tcW w:type="dxa" w:w="1080"/>
          </w:tcPr>
          <w:p>
            <w:r>
              <w:t>0.06155513282048014</w:t>
            </w:r>
          </w:p>
        </w:tc>
        <w:tc>
          <w:tcPr>
            <w:tcW w:type="dxa" w:w="1080"/>
          </w:tcPr>
          <w:p>
            <w:r>
              <w:t>0.0649373749671537</w:t>
            </w:r>
          </w:p>
        </w:tc>
        <w:tc>
          <w:tcPr>
            <w:tcW w:type="dxa" w:w="1080"/>
          </w:tcPr>
          <w:p>
            <w:r>
              <w:t>0.003382242146673556</w:t>
            </w:r>
          </w:p>
        </w:tc>
      </w:tr>
      <w:tr>
        <w:tc>
          <w:tcPr>
            <w:tcW w:type="dxa" w:w="1080"/>
          </w:tcPr>
          <w:p>
            <w:r>
              <w:t>Utilization Segment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0.125</w:t>
            </w:r>
          </w:p>
        </w:tc>
        <w:tc>
          <w:tcPr>
            <w:tcW w:type="dxa" w:w="1080"/>
          </w:tcPr>
          <w:p>
            <w:r>
              <w:t>0.18461538461538463</w:t>
            </w:r>
          </w:p>
        </w:tc>
        <w:tc>
          <w:tcPr>
            <w:tcW w:type="dxa" w:w="1080"/>
          </w:tcPr>
          <w:p>
            <w:r>
              <w:t>0.059615384615384626</w:t>
            </w:r>
          </w:p>
        </w:tc>
        <w:tc>
          <w:tcPr>
            <w:tcW w:type="dxa" w:w="1080"/>
          </w:tcPr>
          <w:p>
            <w:r>
              <w:t>0.05856794961583377</w:t>
            </w:r>
          </w:p>
        </w:tc>
        <w:tc>
          <w:tcPr>
            <w:tcW w:type="dxa" w:w="1080"/>
          </w:tcPr>
          <w:p>
            <w:r>
              <w:t>0.06821350457636971</w:t>
            </w:r>
          </w:p>
        </w:tc>
        <w:tc>
          <w:tcPr>
            <w:tcW w:type="dxa" w:w="1080"/>
          </w:tcPr>
          <w:p>
            <w:r>
              <w:t>0.009645554960535943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43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5_cross_axis_synthe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default-rate spread by axis (widest to narrowest): Risk Tier=97.97%, Repayment Segment=7.84%, Bureau Segment=6.68%, Utilization Segment=5.96%.</w:t>
      </w:r>
    </w:p>
    <w:p>
      <w:r>
        <w:rPr>
          <w:i/>
          <w:color w:val="595959"/>
        </w:rPr>
        <w:t>Synthesis verdict: SYNTHESIS VALIDATED — CAPITAL TRACKS RISK AS EXPECTED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