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Problem 1 — Credit Default Prediction</w:t>
      </w:r>
    </w:p>
    <w:p>
      <w:pPr>
        <w:jc w:val="center"/>
      </w:pPr>
      <w:r>
        <w:rPr>
          <w:i/>
          <w:color w:val="595959"/>
          <w:sz w:val="22"/>
        </w:rPr>
        <w:t>Mega Project 1: Intelligent Underwriting &amp; Automated Credit Decisioning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Champion model: XGBoost, selected by highest mean 5-fold CV ROC-AUC among the top 2 of 4 real screened candidates (LightGBM runner-up).</w:t>
      </w:r>
    </w:p>
    <w:p>
      <w:pPr>
        <w:pStyle w:val="ListBullet"/>
      </w:pPr>
      <w:r>
        <w:t>Real holdout ROC-AUC: 0.5352 (95% bootstrap CI [0.4731, 0.5992]).</w:t>
      </w:r>
    </w:p>
    <w:p>
      <w:pPr>
        <w:pStyle w:val="ListBullet"/>
      </w:pPr>
      <w:r>
        <w:t>Deployment readiness verdict: NOT RECOMMENDED FOR PRODUCTION YET — failed: auc_ci_lower_above_random (this is a separate, stricter statistical-robustness gate, distinct from the structural pipeline integrity checks reported elsewhere in this notebook's output; failing here does not indicate a code defect, and passing all integrity checks does not imply this gate passed -- expected and informational on small or noisy real/synthetic samples, see this problem's MODEL_CARD.md)</w:t>
      </w:r>
    </w:p>
    <w:p>
      <w:pPr>
        <w:pStyle w:val="ListBullet"/>
      </w:pPr>
      <w:r>
        <w:t>Real holdout credit exposure captured by correctly-flagged high-risk applications: $740,368 (2.9% of all real defaulters in the holdout set).</w:t>
      </w:r>
    </w:p>
    <w:p>
      <w:pPr>
        <w:pStyle w:val="ListBullet"/>
      </w:pPr>
      <w:r>
        <w:t>SHAP + LIME explainability computed for the champion model only; top real driver: EXT_SOURCE_2.</w:t>
      </w:r>
    </w:p>
    <w:p>
      <w:pPr>
        <w:pStyle w:val="ListBullet"/>
      </w:pPr>
      <w:r>
        <w:t>All 13 pipeline integrity checks: 13/13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XGBoost does not yet meet the deployment-readiness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Holdout ROC-AUC 0.5352 with a 95% bootstrap CI of [0.4731, 0.5992]; deployment checks 2/3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Calibration gap 0.0749 vs. &lt;0.1 threshold; split-half PSI 0.0258 vs. &lt;0.1 threshold.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Investigate the failing check(s) above before promoting to production; re-run this notebook after any fix to confirm.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supports the underwriting-automation goal of Mega Project 1.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Verdict computed fresh on every run — re-check before each deployment cycle.</w:t>
      </w:r>
    </w:p>
    <w:p/>
    <w:p>
      <w:r>
        <w:rPr>
          <w:b/>
          <w:color w:val="EB6834"/>
          <w:sz w:val="25"/>
        </w:rPr>
        <w:t>Close the data-quality gap on EXT_SOURCE_3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EXT_SOURCE_3 is missing in 79.1% of 4,000 real applications, the single worst column in this run.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Track missingness on this column at each future run; 8 columns currently have at least one missing value.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Add or enforce a required capture field at intake, or source it from bureau data.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It is one of the correlation-with-TARGET columns tracked in this notebook's EDA (top-3 |r|: {'EXT_SOURCE_2': 0.0887, 'DAYS_BIRTH': 0.0712, 'CNT_FAM_MEMBERS': 0.0176}).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Target: before the next underwriting policy review cycle.</w:t>
      </w:r>
    </w:p>
    <w:p/>
    <w:p>
      <w:r>
        <w:rPr>
          <w:b/>
          <w:color w:val="1BAF7A"/>
          <w:sz w:val="25"/>
        </w:rPr>
        <w:t>Correct the DAYS_EMPLOYED sentinel-value anomaly upstream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190 / 4,000 rows (4.75%) carry the 365243 sentinel meaning 'not currently employed', currently patched to null in this notebook.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Reduce reliance on the in-notebook patch by fixing the value at its source system.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Coordinate with the data-intake team to flag unemployment explicitly rather than with a magic-number placeholder.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DAYS_EMPLOYED-derived features feed the champion model; a source-level fix improves every downstream notebook that reuses this feature set (HYPER).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Target: next data-pipeline maintenance window.</w:t>
      </w:r>
    </w:p>
    <w:p/>
    <w:p>
      <w:r>
        <w:rPr>
          <w:b/>
          <w:color w:val="EDA100"/>
          <w:sz w:val="25"/>
        </w:rPr>
        <w:t>Monitor false-alarm exposure against the review queue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$1,810,661 of real holdout exposure is on applications the model flags as high-risk but that did not default (false positives).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False-alarm exposure is 2.45x the real captured exposure — track this ratio on every run.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Route false-alarm-adjacent decisions to manual review rather than auto-decline, using the 0.5 classification threshold documented in Assumptions.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Balances the underwriting-automation goal against applicant experience.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Target: reassess after the next full-data run confirms this ratio at scale.</w:t>
      </w:r>
    </w:p>
    <w:p/>
    <w:p>
      <w:pPr>
        <w:pStyle w:val="Heading1"/>
      </w:pPr>
      <w:r>
        <w:rPr>
          <w:color w:val="2A78D6"/>
        </w:rPr>
        <w:t>Exploratory Data Analysis &amp; Data Quality (SOP Stage 1B/2)</w:t>
      </w:r>
    </w:p>
    <w:p>
      <w:r>
        <w:t>8 of 51 real raw columns have at least one missing value (top 5 by % missing shown in the chart below).</w:t>
      </w:r>
    </w:p>
    <w:p>
      <w:r>
        <w:t>DAYS_EMPLOYED sentinel-value anomaly (365243 = 'not currently employed'): 190 / 4,000 rows (4.75%) — converted to null before modeling, never left as a numeric outlier.</w:t>
      </w:r>
    </w:p>
    <w:p>
      <w:r>
        <w:t>IQR-based outlier counts (real): AMT_INCOME_TOTAL=154 (3.9%); AMT_CREDIT=197 (4.9%); AMT_ANNUITY=236 (5.9%).</w:t>
      </w:r>
    </w:p>
    <w:p>
      <w:r>
        <w:t>Real Pearson correlation with TARGET (top 3 by |r|): {'EXT_SOURCE_2': 0.0887, 'DAYS_BIRTH': 0.0712, 'CNT_FAM_MEMBERS': 0.0176}.</w:t>
      </w:r>
    </w:p>
    <w:p>
      <w:r>
        <w:drawing>
          <wp:inline xmlns:a="http://schemas.openxmlformats.org/drawingml/2006/main" xmlns:pic="http://schemas.openxmlformats.org/drawingml/2006/picture">
            <wp:extent cx="5486400" cy="422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8 of 51 real raw columns have at least one missing value; the worst, EXT_SOURCE_3, is missing in 79.1% of applications.</w:t>
      </w:r>
    </w:p>
    <w:p>
      <w:r>
        <w:rPr>
          <w:i/>
          <w:color w:val="595959"/>
        </w:rPr>
        <w:t>The top 5 columns by missingness average 44.5% missing.</w:t>
      </w:r>
    </w:p>
    <w:p>
      <w:r>
        <w:rPr>
          <w:i/>
          <w:color w:val="595959"/>
        </w:rPr>
        <w:t>A separate DAYS_EMPLOYED sentinel-value anomaly (365243 = 'not currently employed') affects 190 rows (4.75%) and is converted to null before modeling.</w:t>
      </w:r>
    </w:p>
    <w:p>
      <w:r>
        <w:rPr>
          <w:i/>
          <w:color w:val="595959"/>
        </w:rPr>
        <w:t>Use the filter above to switch between the top-15 and top-5 views of this same real ranking.</w:t>
      </w:r>
    </w:p>
    <w:p>
      <w:pPr>
        <w:pStyle w:val="Heading1"/>
      </w:pPr>
      <w:r>
        <w:rPr>
          <w:color w:val="EB6834"/>
        </w:rPr>
        <w:t>Numeric Distributions &amp; Outliers</w:t>
      </w:r>
    </w:p>
    <w:p>
      <w:r>
        <w:drawing>
          <wp:inline xmlns:a="http://schemas.openxmlformats.org/drawingml/2006/main" xmlns:pic="http://schemas.openxmlformats.org/drawingml/2006/picture">
            <wp:extent cx="548640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eda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Correlation with Target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eda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EDA100"/>
        </w:rPr>
        <w:t>Stage A — Model Candidate Screening (top 4, single real split)</w:t>
      </w:r>
    </w:p>
    <w:p>
      <w:r>
        <w:t>All 4 real candidates (RandomForest, XGBoost, CatBoost, LightGBM) were fit once on an 80/20 real train/validation split before committing any of them to the full 5-fold CV cost.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Model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Screen ROC-AUC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Fit Seconds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Advanced to CV</w:t>
            </w:r>
          </w:p>
        </w:tc>
      </w:tr>
      <w:tr>
        <w:tc>
          <w:tcPr>
            <w:tcW w:type="dxa" w:w="2160"/>
          </w:tcPr>
          <w:p>
            <w:r>
              <w:t>RandomForest</w:t>
            </w:r>
          </w:p>
        </w:tc>
        <w:tc>
          <w:tcPr>
            <w:tcW w:type="dxa" w:w="2160"/>
          </w:tcPr>
          <w:p>
            <w:r>
              <w:t>0.5188</w:t>
            </w:r>
          </w:p>
        </w:tc>
        <w:tc>
          <w:tcPr>
            <w:tcW w:type="dxa" w:w="2160"/>
          </w:tcPr>
          <w:p>
            <w:r>
              <w:t>1.12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0.5532</w:t>
            </w:r>
          </w:p>
        </w:tc>
        <w:tc>
          <w:tcPr>
            <w:tcW w:type="dxa" w:w="2160"/>
          </w:tcPr>
          <w:p>
            <w:r>
              <w:t>0.52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CatBoost</w:t>
            </w:r>
          </w:p>
        </w:tc>
        <w:tc>
          <w:tcPr>
            <w:tcW w:type="dxa" w:w="2160"/>
          </w:tcPr>
          <w:p>
            <w:r>
              <w:t>0.5462</w:t>
            </w:r>
          </w:p>
        </w:tc>
        <w:tc>
          <w:tcPr>
            <w:tcW w:type="dxa" w:w="2160"/>
          </w:tcPr>
          <w:p>
            <w:r>
              <w:t>1.31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0.5599</w:t>
            </w:r>
          </w:p>
        </w:tc>
        <w:tc>
          <w:tcPr>
            <w:tcW w:type="dxa" w:w="2160"/>
          </w:tcPr>
          <w:p>
            <w:r>
              <w:t>0.32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27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screening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E87BA4"/>
        </w:rPr>
        <w:t>Stage B — Champion Selection (5-fold CV, top 2 real candidates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Model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Mean CV ROC-AUC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Std Dev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0.5303</w:t>
            </w:r>
          </w:p>
        </w:tc>
        <w:tc>
          <w:tcPr>
            <w:tcW w:type="dxa" w:w="2880"/>
          </w:tcPr>
          <w:p>
            <w:r>
              <w:t>0.0222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0.5364</w:t>
            </w:r>
          </w:p>
        </w:tc>
        <w:tc>
          <w:tcPr>
            <w:tcW w:type="dxa" w:w="2880"/>
          </w:tcPr>
          <w:p>
            <w:r>
              <w:t>0.0253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benchmark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XGBoost wins real 5-fold CV among the top-2 screened candidates with a mean ROC-AUC of 0.5364 (+/- 0.0253), 0.0062 ahead of the runner-up, LightGBM.</w:t>
      </w:r>
    </w:p>
    <w:p>
      <w:r>
        <w:rPr>
          <w:i/>
          <w:color w:val="595959"/>
        </w:rPr>
        <w:t>Of the 4 real candidates screened in Stage A, RandomForest scored weakest (0.5188 single-split AUC) and did not advance to the full 5-fold CV — this two-stage screen is what keeps this notebook to a real top-4/top-2 benchmark instead of committing every candidate to the full CV cost.</w:t>
      </w:r>
    </w:p>
    <w:p>
      <w:r>
        <w:rPr>
          <w:i/>
          <w:color w:val="595959"/>
        </w:rPr>
        <w:t>On the true holdout set, XGBoost scores 0.5352 ROC-AUC (95% bootstrap CI [0.4731, 0.5992]), consistent with its CV performance.</w:t>
      </w:r>
    </w:p>
    <w:p>
      <w:r>
        <w:rPr>
          <w:i/>
          <w:color w:val="595959"/>
        </w:rPr>
        <w:t>Deployment readiness verdict: NOT RECOMMENDED FOR PRODUCTION YET — failed: auc_ci_lower_above_random (this is a separate, stricter statistical-robustness gate, distinct from the structural pipeline integrity checks reported elsewhere in this notebook's output; failing here does not indicate a code defect, and passing all integrity checks does not imply this gate passed -- expected and informational on small or noisy real/synthetic samples, see this problem's MODEL_CARD.md).</w:t>
      </w:r>
    </w:p>
    <w:p>
      <w:pPr>
        <w:pStyle w:val="Heading1"/>
      </w:pPr>
      <w:r>
        <w:rPr>
          <w:color w:val="008300"/>
        </w:rPr>
        <w:t>CV Report — Per-Fold Results (Top 2 Models)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Fold</w:t>
            </w:r>
          </w:p>
        </w:tc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ROC-AUC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0.5067559305453656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0.5526259476644657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0.5612007825874297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0.517012105649303</w:t>
            </w:r>
          </w:p>
        </w:tc>
      </w:tr>
      <w:tr>
        <w:tc>
          <w:tcPr>
            <w:tcW w:type="dxa" w:w="2880"/>
          </w:tcPr>
          <w:p>
            <w:r>
              <w:t>LightGBM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0.5137411347517731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0.539939471753485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0.5372034727317192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0.5775097823428711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0.5291177549523111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0.4983950843727072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cv_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4A3AA7"/>
        </w:rPr>
        <w:t>Holdout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a3aa7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4a3aa7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roc_auc</w:t>
            </w:r>
          </w:p>
        </w:tc>
        <w:tc>
          <w:tcPr>
            <w:tcW w:type="dxa" w:w="4320"/>
          </w:tcPr>
          <w:p>
            <w:r>
              <w:t>0.5352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0.3750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0.0294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0.0545</w:t>
            </w:r>
          </w:p>
        </w:tc>
      </w:tr>
      <w:tr>
        <w:tc>
          <w:tcPr>
            <w:tcW w:type="dxa" w:w="4320"/>
          </w:tcPr>
          <w:p>
            <w:r>
              <w:t>brier_score</w:t>
            </w:r>
          </w:p>
        </w:tc>
        <w:tc>
          <w:tcPr>
            <w:tcW w:type="dxa" w:w="4320"/>
          </w:tcPr>
          <w:p>
            <w:r>
              <w:t>0.1469</w:t>
            </w:r>
          </w:p>
        </w:tc>
      </w:tr>
    </w:tbl>
    <w:p>
      <w:pPr>
        <w:pStyle w:val="Heading1"/>
      </w:pPr>
      <w:r>
        <w:rPr>
          <w:color w:val="E34948"/>
        </w:rPr>
        <w:t>SHAP Explainability (Champion Model: XGBoost)</w:t>
      </w:r>
    </w:p>
    <w:p>
      <w:r>
        <w:t>Computed on a real 300-row sample of the holdout set. Top 5 real drivers by mean |SHAP value|: [{'feature': 'EXT_SOURCE_2', 'mean_abs_shap': 0.2442999929189682}, {'feature': 'AGE_YEARS', 'mean_abs_shap': 0.16279999911785126}, {'feature': 'DAYS_LAST_PHONE_CHANGE', 'mean_abs_shap': 0.1282999962568283}, {'feature': 'BUREAU_AMT_CREDIT_SUM_TOTAL', 'mean_abs_shap': 0.12099999934434891}, {'feature': 'YEARS_EMPLOYED', 'mean_abs_shap': 0.1200999990105629}].</w:t>
      </w:r>
    </w:p>
    <w:p>
      <w:r>
        <w:drawing>
          <wp:inline xmlns:a="http://schemas.openxmlformats.org/drawingml/2006/main" xmlns:pic="http://schemas.openxmlformats.org/drawingml/2006/picture">
            <wp:extent cx="5486400" cy="426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shap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34948"/>
        </w:rPr>
        <w:t xml:space="preserve">Insight — </w:t>
      </w:r>
      <w:r>
        <w:rPr>
          <w:i/>
          <w:color w:val="595959"/>
        </w:rPr>
        <w:t>Real SHAP explainability was computed for the champion model (XGBoost) only, on a real 300-row sample of the holdout set — per the standing rule that champion-only explainability is sufficient once model selection is already narrowed to a top-2 CV comparison.</w:t>
      </w:r>
    </w:p>
    <w:p>
      <w:r>
        <w:rPr>
          <w:i/>
          <w:color w:val="595959"/>
        </w:rPr>
        <w:t>The single strongest real driver of predicted default probability is EXT_SOURCE_2 (mean |SHAP| = 0.2443), followed by AGE_YEARS (mean |SHAP| = 0.1628).</w:t>
      </w:r>
    </w:p>
    <w:p>
      <w:r>
        <w:rPr>
          <w:i/>
          <w:color w:val="595959"/>
        </w:rPr>
        <w:t>Positive SHAP values push a real application's predicted probability toward default; negative values push it toward no default — see the beeswarm detail chart for the real direction of each feature's effect.</w:t>
      </w:r>
    </w:p>
    <w:p>
      <w:pPr>
        <w:pStyle w:val="Heading1"/>
      </w:pPr>
      <w:r>
        <w:rPr>
          <w:color w:val="2A78D6"/>
        </w:rPr>
        <w:t>LIME Explainability (Champion Model, representative real holdout cases)</w:t>
      </w:r>
    </w:p>
    <w:p>
      <w:r>
        <w:t>Real cases explained: Most-confident correct default flag, Most-confident correct non-default, A real misclassified application.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a78d6"/>
          </w:tcPr>
          <w:p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2880"/>
            <w:shd w:fill="2a78d6"/>
          </w:tcPr>
          <w:p>
            <w:r>
              <w:rPr>
                <w:b/>
                <w:color w:val="FFFFFF"/>
              </w:rPr>
              <w:t>Feature Condition</w:t>
            </w:r>
          </w:p>
        </w:tc>
        <w:tc>
          <w:tcPr>
            <w:tcW w:type="dxa" w:w="2880"/>
            <w:shd w:fill="2a78d6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AGE_YEARS &gt; 57.80</w:t>
            </w:r>
          </w:p>
        </w:tc>
        <w:tc>
          <w:tcPr>
            <w:tcW w:type="dxa" w:w="2880"/>
          </w:tcPr>
          <w:p>
            <w:r>
              <w:t>0.0403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DAYS_LAST_PHONE_CHANGE &lt;= -3040.50</w:t>
            </w:r>
          </w:p>
        </w:tc>
        <w:tc>
          <w:tcPr>
            <w:tcW w:type="dxa" w:w="2880"/>
          </w:tcPr>
          <w:p>
            <w:r>
              <w:t>0.0341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0.24 &lt; EXT_SOURCE_2 &lt;= 0.49</w:t>
            </w:r>
          </w:p>
        </w:tc>
        <w:tc>
          <w:tcPr>
            <w:tcW w:type="dxa" w:w="2880"/>
          </w:tcPr>
          <w:p>
            <w:r>
              <w:t>0.0338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EXT_SOURCE_3 &lt;= 0.49</w:t>
            </w:r>
          </w:p>
        </w:tc>
        <w:tc>
          <w:tcPr>
            <w:tcW w:type="dxa" w:w="2880"/>
          </w:tcPr>
          <w:p>
            <w:r>
              <w:t>0.0274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BUREAU_AMT_OVERDUE_TOTAL &lt;= 0.00</w:t>
            </w:r>
          </w:p>
        </w:tc>
        <w:tc>
          <w:tcPr>
            <w:tcW w:type="dxa" w:w="2880"/>
          </w:tcPr>
          <w:p>
            <w:r>
              <w:t>0.0225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CNT_CHILDREN &gt; 1.00</w:t>
            </w:r>
          </w:p>
        </w:tc>
        <w:tc>
          <w:tcPr>
            <w:tcW w:type="dxa" w:w="2880"/>
          </w:tcPr>
          <w:p>
            <w:r>
              <w:t>0.0218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OCCUPATION_TYPE=4</w:t>
            </w:r>
          </w:p>
        </w:tc>
        <w:tc>
          <w:tcPr>
            <w:tcW w:type="dxa" w:w="2880"/>
          </w:tcPr>
          <w:p>
            <w:r>
              <w:t>-0.0184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0.09 &lt; BUREAU_DEBT_TO_CREDIT_RATIO &lt;= 0.27</w:t>
            </w:r>
          </w:p>
        </w:tc>
        <w:tc>
          <w:tcPr>
            <w:tcW w:type="dxa" w:w="2880"/>
          </w:tcPr>
          <w:p>
            <w:r>
              <w:t>0.0143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BUREAU_DEBT_TO_CREDIT_RATIO &gt; 0.27</w:t>
            </w:r>
          </w:p>
        </w:tc>
        <w:tc>
          <w:tcPr>
            <w:tcW w:type="dxa" w:w="2880"/>
          </w:tcPr>
          <w:p>
            <w:r>
              <w:t>-0.0574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AGE_YEARS &lt;= 32.24</w:t>
            </w:r>
          </w:p>
        </w:tc>
        <w:tc>
          <w:tcPr>
            <w:tcW w:type="dxa" w:w="2880"/>
          </w:tcPr>
          <w:p>
            <w:r>
              <w:t>-0.0384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0.49 &lt; EXT_SOURCE_2 &lt;= 0.75</w:t>
            </w:r>
          </w:p>
        </w:tc>
        <w:tc>
          <w:tcPr>
            <w:tcW w:type="dxa" w:w="2880"/>
          </w:tcPr>
          <w:p>
            <w:r>
              <w:t>-0.0322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DAYS_LAST_PHONE_CHANGE &lt;= -3040.50</w:t>
            </w:r>
          </w:p>
        </w:tc>
        <w:tc>
          <w:tcPr>
            <w:tcW w:type="dxa" w:w="2880"/>
          </w:tcPr>
          <w:p>
            <w:r>
              <w:t>0.0294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EXT_SOURCE_3 &lt;= 0.49</w:t>
            </w:r>
          </w:p>
        </w:tc>
        <w:tc>
          <w:tcPr>
            <w:tcW w:type="dxa" w:w="2880"/>
          </w:tcPr>
          <w:p>
            <w:r>
              <w:t>0.0253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BUREAU_AMT_CREDIT_SUM_DEBT_TOTAL &gt; 46309.19</w:t>
            </w:r>
          </w:p>
        </w:tc>
        <w:tc>
          <w:tcPr>
            <w:tcW w:type="dxa" w:w="2880"/>
          </w:tcPr>
          <w:p>
            <w:r>
              <w:t>-0.0248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BUREAU_CNT_CREDITS &gt; 3.00</w:t>
            </w:r>
          </w:p>
        </w:tc>
        <w:tc>
          <w:tcPr>
            <w:tcW w:type="dxa" w:w="2880"/>
          </w:tcPr>
          <w:p>
            <w:r>
              <w:t>0.0170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BUREAU_AMT_OVERDUE_TOTAL &lt;= 0.00</w:t>
            </w:r>
          </w:p>
        </w:tc>
        <w:tc>
          <w:tcPr>
            <w:tcW w:type="dxa" w:w="2880"/>
          </w:tcPr>
          <w:p>
            <w:r>
              <w:t>0.0168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EXT_SOURCE_2 &gt; 0.75</w:t>
            </w:r>
          </w:p>
        </w:tc>
        <w:tc>
          <w:tcPr>
            <w:tcW w:type="dxa" w:w="2880"/>
          </w:tcPr>
          <w:p>
            <w:r>
              <w:t>-0.0473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DAYS_LAST_PHONE_CHANGE &lt;= -3040.50</w:t>
            </w:r>
          </w:p>
        </w:tc>
        <w:tc>
          <w:tcPr>
            <w:tcW w:type="dxa" w:w="2880"/>
          </w:tcPr>
          <w:p>
            <w:r>
              <w:t>0.0349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REGION_POPULATION_RELATIVE &lt;= 0.02</w:t>
            </w:r>
          </w:p>
        </w:tc>
        <w:tc>
          <w:tcPr>
            <w:tcW w:type="dxa" w:w="2880"/>
          </w:tcPr>
          <w:p>
            <w:r>
              <w:t>0.0268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EXT_SOURCE_3 &lt;= 0.49</w:t>
            </w:r>
          </w:p>
        </w:tc>
        <w:tc>
          <w:tcPr>
            <w:tcW w:type="dxa" w:w="2880"/>
          </w:tcPr>
          <w:p>
            <w:r>
              <w:t>0.0259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AMT_ANNUITY &lt;= 12237.39</w:t>
            </w:r>
          </w:p>
        </w:tc>
        <w:tc>
          <w:tcPr>
            <w:tcW w:type="dxa" w:w="2880"/>
          </w:tcPr>
          <w:p>
            <w:r>
              <w:t>-0.0192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BUREAU_AMT_OVERDUE_TOTAL &lt;= 0.00</w:t>
            </w:r>
          </w:p>
        </w:tc>
        <w:tc>
          <w:tcPr>
            <w:tcW w:type="dxa" w:w="2880"/>
          </w:tcPr>
          <w:p>
            <w:r>
              <w:t>0.0182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153215.47 &lt; BUREAU_AMT_CREDIT_SUM_TOTAL &lt;= 309332.65</w:t>
            </w:r>
          </w:p>
        </w:tc>
        <w:tc>
          <w:tcPr>
            <w:tcW w:type="dxa" w:w="2880"/>
          </w:tcPr>
          <w:p>
            <w:r>
              <w:t>-0.0176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NAME_HOUSING_TYPE=0</w:t>
            </w:r>
          </w:p>
        </w:tc>
        <w:tc>
          <w:tcPr>
            <w:tcW w:type="dxa" w:w="2880"/>
          </w:tcPr>
          <w:p>
            <w:r>
              <w:t>-0.0173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lime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local (instance-level) LIME explanations were computed for 3 representative real holdout applications selected from this run's own predictions: Most-confident correct default flag, Most-confident correct non-default, A real misclassified application.</w:t>
      </w:r>
    </w:p>
    <w:p>
      <w:r>
        <w:rPr>
          <w:i/>
          <w:color w:val="595959"/>
        </w:rPr>
        <w:t>Unlike SHAP's global feature-importance ranking above, LIME shows exactly which real feature values moved THIS SPECIFIC application's prediction — useful for explaining an individual underwriting decision to an applicant or auditor.</w:t>
      </w:r>
    </w:p>
    <w:p>
      <w:r>
        <w:rPr>
          <w:i/>
          <w:color w:val="595959"/>
        </w:rPr>
        <w:t>Full per-feature weights for every case are in the LIME Instance Explanations table/sheet below.</w:t>
      </w:r>
    </w:p>
    <w:p>
      <w:pPr>
        <w:pStyle w:val="Heading1"/>
      </w:pPr>
      <w:r>
        <w:rPr>
          <w:color w:val="EB6834"/>
        </w:rPr>
        <w:t>Statistical Validation (SOP Stage 4)</w:t>
      </w:r>
    </w:p>
    <w:p>
      <w:r>
        <w:t>Bootstrap 95% CI on holdout ROC-AUC (1000 resamples): [0.4731, 0.5992].</w:t>
      </w:r>
    </w:p>
    <w:p>
      <w:r>
        <w:t>Mean calibration gap across 10 score deciles: 0.0749 (threshold: &lt;0.1).</w:t>
      </w:r>
    </w:p>
    <w:p>
      <w:r>
        <w:t>Split-half PSI on holdout score distribution: 0.0258 (threshold: &lt;0.1).</w:t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Mean calibration gap across 10 real score deciles is 0.0749 (ASSUMPTION threshold for 'acceptable': &lt;0.1), so the model is well-calibrated.</w:t>
      </w:r>
    </w:p>
    <w:p>
      <w:r>
        <w:rPr>
          <w:i/>
          <w:color w:val="595959"/>
        </w:rPr>
        <w:t>Split-half PSI on the holdout score distribution is 0.0258 (ASSUMPTION threshold: &lt;0.1), indicating a stable score distribution.</w:t>
      </w:r>
    </w:p>
    <w:p>
      <w:r>
        <w:rPr>
          <w:i/>
          <w:color w:val="595959"/>
        </w:rPr>
        <w:t>The top decile shows a real mean predicted default probability of 37.23% against an actual observed rate of 21.67%.</w:t>
      </w:r>
    </w:p>
    <w:p>
      <w:pPr>
        <w:pStyle w:val="Heading1"/>
      </w:pPr>
      <w:r>
        <w:rPr>
          <w:color w:val="1BAF7A"/>
        </w:rPr>
        <w:t>Financial Impact (real exposure figures + one labeled assumption)</w:t>
      </w:r>
    </w:p>
    <w:p>
      <w:r>
        <w:t>Total real holdout credit exposure (AMT_CREDIT): $259,486,224.</w:t>
      </w:r>
    </w:p>
    <w:p>
      <w:r>
        <w:t>Exposure of correctly-flagged high-risk applications (true positives): $740,368.</w:t>
      </w:r>
    </w:p>
    <w:p>
      <w:r>
        <w:t>Exposure of missed defaulters (false negatives): $43,536,212.</w:t>
      </w:r>
    </w:p>
    <w:p>
      <w:r>
        <w:t>Exposure of false alarms — good applications incorrectly flagged (false positives): $1,810,661.</w:t>
      </w:r>
    </w:p>
    <w:p>
      <w:r>
        <w:t>ASSUMPTION (Basel III Foundation IRB unsecured-retail LGD convention, 45%): applied only to captured exposure, illustrative estimated loss prevented = $333,166. This is a labeled estimate, not a real observed figure.</w:t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Of $259,486,224 in real total holdout credit exposure, the model correctly flags $740,368 of at-risk exposure (capture rate 2.9% of real defaulters).</w:t>
      </w:r>
    </w:p>
    <w:p>
      <w:r>
        <w:rPr>
          <w:i/>
          <w:color w:val="595959"/>
        </w:rPr>
        <w:t>$43,536,212 of exposure is missed (false negatives) and $1,810,661 is flagged on good applications that did not default (false alarms).</w:t>
      </w:r>
    </w:p>
    <w:p>
      <w:r>
        <w:rPr>
          <w:i/>
          <w:color w:val="595959"/>
        </w:rPr>
        <w:t>ASSUMPTION (Basel III Foundation IRB unsecured-retail LGD, 45%): applied only to captured exposure, illustrative estimated loss prevented = $333,166.</w:t>
      </w:r>
    </w:p>
    <w:p>
      <w:r>
        <w:rPr>
          <w:i/>
          <w:color w:val="595959"/>
        </w:rPr>
        <w:t>Switch the view above to see the same three outcomes by real applicant count instead of dollar exposure.</w:t>
      </w:r>
    </w:p>
    <w:p>
      <w:pPr>
        <w:pStyle w:val="Heading1"/>
      </w:pPr>
      <w:r>
        <w:rPr>
          <w:color w:val="EDA100"/>
        </w:rPr>
        <w:t>Integrity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Check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target_is_binary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no_leakage_columns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holdout_size_matches_split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champion_auc_above_random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cv_fold_count_correct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no_null_features_after_impute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candidate_screen_is_top4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cv_computed_for_top2_only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champion_in_screened_top2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shap_values_finite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shap_feature_count_matches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lime_explanations_computed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cpu_thread_ceiling_applied_before_import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