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4 — Credit Score Estimation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PDO scorecard built on Problem 1's real XGBoost PD model — 4,000 real customers scored, score range 436-631.</w:t>
      </w:r>
    </w:p>
    <w:p>
      <w:pPr>
        <w:pStyle w:val="ListBullet"/>
      </w:pPr>
      <w:r>
        <w:t>Real score discrimination: AUC 0.9591 (95% bootstrap CI [0.9468, 0.9696]).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Thin-file population (no bureau history): 402 (10.05%) of scored customers.</w:t>
      </w:r>
    </w:p>
    <w:p>
      <w:pPr>
        <w:pStyle w:val="ListBullet"/>
      </w:pPr>
      <w:r>
        <w:t>SHAP + LIME explainability computed for the upstream champion model; top real driver: EXT_SOURCE_2.</w:t>
      </w:r>
    </w:p>
    <w:p>
      <w:pPr>
        <w:pStyle w:val="ListBullet"/>
      </w:pPr>
      <w:r>
        <w:t>All 11 pipeline integrity checks: 11/11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1's XGBoost model meets the scorecard deployment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Score AUC 0.9591 (95% bootstrap CI [0.9468, 0.9696]); deployment checks 4/4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0.0984 vs. &lt;0.1 threshold; split-half PSI 0.0008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real-time credit-score display in the underwriting-automation workflow.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Reduce the 10.1% thin-file population's reliance on application-only signal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402 of 4,000 real customers have zero bureau credit records and are scored on application fields alone.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the thin-file share and its mean score gap vs. bureau-scored customers on every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Consider Notebook 02's broader servicing-history feature set (POS_CASH/installments/credit_card) as an alternative-data signal for this specific population in a future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extends the standing instruction to integrate relevant supplementary datasets for accuracy, applied here to the thin-file sub-population specifically.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evaluate alongside the next Mega Project 1 feature-harmonization pass.</w:t>
      </w:r>
    </w:p>
    <w:p/>
    <w:p>
      <w:r>
        <w:rPr>
          <w:b/>
          <w:color w:val="1BAF7A"/>
          <w:sz w:val="25"/>
        </w:rPr>
        <w:t>'Very Poor' band concentrates the real default risk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Real default rate 76.12% in the 'Very Poor' band vs. 1.12% in 'Excellent'.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$346,734,752 of real portfolio volume sits in this highest-risk band.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Route this band to enhanced manual review or tighter approval terms in the underwriting policy.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risk-tiered decisioning across the underwriting-automation workflow.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incorporate into the next underwriting policy review cycle.</w:t>
      </w:r>
    </w:p>
    <w:p/>
    <w:p>
      <w:pPr>
        <w:pStyle w:val="Heading1"/>
      </w:pPr>
      <w:r>
        <w:rPr>
          <w:color w:val="2A78D6"/>
        </w:rPr>
        <w:t>Exploratory Data Analysis &amp; Data Quality of the Scoring Population (SOP Stage 1B/2)</w:t>
      </w:r>
    </w:p>
    <w:p>
      <w:r>
        <w:t>6 of 56 real scoring features have at least one missing value (imputed via Notebook 01's fitted imputer, never dropped).</w:t>
      </w:r>
    </w:p>
    <w:p>
      <w:r>
        <w:t>IQR-based outlier counts (real): AMT_INCOME_TOTAL=154 (3.9%); AMT_CREDIT=197 (4.9%); AGE_YEARS=0 (0.0%).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6 of 56 real scoring features have at least one missing value; the worst, EXT_SOURCE_3, is missing in 79.1% of the scoring population.</w:t>
      </w:r>
    </w:p>
    <w:p>
      <w:r>
        <w:rPr>
          <w:i/>
          <w:color w:val="595959"/>
        </w:rPr>
        <w:t>402 / 4,000 customers (10.05%) are thin-file (zero real bureau credit records) and are scored on application-only signal — tracked separately throughout, never silently merged.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of Scoring Features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Real Score Distribution &amp; Band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Score Band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Customers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Real Default Rate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Mean Score</w:t>
            </w:r>
          </w:p>
        </w:tc>
      </w:tr>
      <w:tr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0.0112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Fair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0.0200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0.0150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0.0450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Very Poor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0.7612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'Very Poor' carries the highest real default rate (76.12%, mean score 487); 'Excellent' the lowest (1.12%, mean score 588).</w:t>
      </w:r>
    </w:p>
    <w:p>
      <w:r>
        <w:rPr>
          <w:i/>
          <w:color w:val="595959"/>
        </w:rPr>
        <w:t>Score-to-default monotonicity holds across all 5 bands (informational — reported, not forced).</w:t>
      </w:r>
    </w:p>
    <w:p>
      <w:r>
        <w:rPr>
          <w:i/>
          <w:color w:val="595959"/>
        </w:rPr>
        <w:t>Switch the view above to see the same 5 bands by real customer count instead of real default rate.</w:t>
      </w:r>
    </w:p>
    <w:p>
      <w:pPr>
        <w:pStyle w:val="Heading1"/>
      </w:pPr>
      <w:r>
        <w:rPr>
          <w:color w:val="E87BA4"/>
        </w:rPr>
        <w:t>SHAP Explainability (Upstream Champion Model: XGBoost)</w:t>
      </w:r>
    </w:p>
    <w:p>
      <w:r>
        <w:t>Computed on a real 300-row sample of the scoring population. Top 5 real drivers by mean |SHAP value|: [{'feature': 'EXT_SOURCE_2', 'mean_abs_shap': 0.25220000743865967}, {'feature': 'AGE_YEARS', 'mean_abs_shap': 0.17479999363422394}, {'feature': 'INSTAL_PCT_LATE', 'mean_abs_shap': 0.13300000131130219}, {'feature': 'DAYS_LAST_PHONE_CHANGE', 'mean_abs_shap': 0.11029999703168869}, {'feature': 'BUREAU_DEBT_TO_CREDIT_RATIO', 'mean_abs_shap': 0.10790000110864639}].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hap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Real SHAP explainability was computed for Notebook 01's loaded champion model (XGBoost) on a real 300-row sample of this notebook's own scoring population.</w:t>
      </w:r>
    </w:p>
    <w:p>
      <w:r>
        <w:rPr>
          <w:i/>
          <w:color w:val="595959"/>
        </w:rPr>
        <w:t>The single strongest real driver of predicted default probability is EXT_SOURCE_2 (mean |SHAP| = 0.2522), followed by AGE_YEARS (mean |SHAP| = 0.1748).</w:t>
      </w:r>
    </w:p>
    <w:p>
      <w:r>
        <w:rPr>
          <w:i/>
          <w:color w:val="595959"/>
        </w:rPr>
        <w:t>Positive SHAP values push a real customer's predicted default probability (and therefore lower credit score) up; negative values push it down — see the beeswarm detail chart for the real direction of each feature's effect.</w:t>
      </w:r>
    </w:p>
    <w:p>
      <w:pPr>
        <w:pStyle w:val="Heading1"/>
      </w:pPr>
      <w:r>
        <w:rPr>
          <w:color w:val="008300"/>
        </w:rPr>
        <w:t>LIME Explainability (Upstream Champion Model, representative real scored customers)</w:t>
      </w:r>
    </w:p>
    <w:p>
      <w:r>
        <w:t>Real cases explained: Most-confident correct default flag, Most-confident correct non-default, A real misclassified customer.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EXT_SOURCE_2 &gt; 0.74</w:t>
            </w:r>
          </w:p>
        </w:tc>
        <w:tc>
          <w:tcPr>
            <w:tcW w:type="dxa" w:w="2880"/>
          </w:tcPr>
          <w:p>
            <w:r>
              <w:t>-0.0456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INSTAL_PCT_LATE &gt; 0.37</w:t>
            </w:r>
          </w:p>
        </w:tc>
        <w:tc>
          <w:tcPr>
            <w:tcW w:type="dxa" w:w="2880"/>
          </w:tcPr>
          <w:p>
            <w:r>
              <w:t>-0.0417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AGE_YEARS &gt; 57.56</w:t>
            </w:r>
          </w:p>
        </w:tc>
        <w:tc>
          <w:tcPr>
            <w:tcW w:type="dxa" w:w="2880"/>
          </w:tcPr>
          <w:p>
            <w:r>
              <w:t>0.0401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DAYS_LAST_PHONE_CHANGE &lt;= -3042.25</w:t>
            </w:r>
          </w:p>
        </w:tc>
        <w:tc>
          <w:tcPr>
            <w:tcW w:type="dxa" w:w="2880"/>
          </w:tcPr>
          <w:p>
            <w:r>
              <w:t>0.0365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INSTAL_CNT_PAYMENTS &gt; 32.00</w:t>
            </w:r>
          </w:p>
        </w:tc>
        <w:tc>
          <w:tcPr>
            <w:tcW w:type="dxa" w:w="2880"/>
          </w:tcPr>
          <w:p>
            <w:r>
              <w:t>-0.0237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INSTAL_MEAN_PAYMENT_RATIO &gt; 0.94</w:t>
            </w:r>
          </w:p>
        </w:tc>
        <w:tc>
          <w:tcPr>
            <w:tcW w:type="dxa" w:w="2880"/>
          </w:tcPr>
          <w:p>
            <w:r>
              <w:t>0.0228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-0.0217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PREVAPP_MEAN_AMT_APPLICATION &gt; 150964.04</w:t>
            </w:r>
          </w:p>
        </w:tc>
        <w:tc>
          <w:tcPr>
            <w:tcW w:type="dxa" w:w="2880"/>
          </w:tcPr>
          <w:p>
            <w:r>
              <w:t>-0.0170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EXT_SOURCE_2 &gt; 0.74</w:t>
            </w:r>
          </w:p>
        </w:tc>
        <w:tc>
          <w:tcPr>
            <w:tcW w:type="dxa" w:w="2880"/>
          </w:tcPr>
          <w:p>
            <w:r>
              <w:t>-0.0439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&gt; 0.26</w:t>
            </w:r>
          </w:p>
        </w:tc>
        <w:tc>
          <w:tcPr>
            <w:tcW w:type="dxa" w:w="2880"/>
          </w:tcPr>
          <w:p>
            <w:r>
              <w:t>-0.0406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-0.0306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CREDIT_TO_INCOME_RATIO &gt; 4.72</w:t>
            </w:r>
          </w:p>
        </w:tc>
        <w:tc>
          <w:tcPr>
            <w:tcW w:type="dxa" w:w="2880"/>
          </w:tcPr>
          <w:p>
            <w:r>
              <w:t>-0.0255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EXT_SOURCE_3 &lt;= 0.49</w:t>
            </w:r>
          </w:p>
        </w:tc>
        <w:tc>
          <w:tcPr>
            <w:tcW w:type="dxa" w:w="2880"/>
          </w:tcPr>
          <w:p>
            <w:r>
              <w:t>0.0211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BUREAU_AMT_CREDIT_SUM_DEBT_TOTAL &gt; 46142.76</w:t>
            </w:r>
          </w:p>
        </w:tc>
        <w:tc>
          <w:tcPr>
            <w:tcW w:type="dxa" w:w="2880"/>
          </w:tcPr>
          <w:p>
            <w:r>
              <w:t>-0.0194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94353.71 &lt; PREVAPP_MEAN_AMT_APPLICATION &lt;= 150964.04</w:t>
            </w:r>
          </w:p>
        </w:tc>
        <w:tc>
          <w:tcPr>
            <w:tcW w:type="dxa" w:w="2880"/>
          </w:tcPr>
          <w:p>
            <w:r>
              <w:t>-0.0164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0.03 &lt; REGION_POPULATION_RELATIVE &lt;= 0.05</w:t>
            </w:r>
          </w:p>
        </w:tc>
        <w:tc>
          <w:tcPr>
            <w:tcW w:type="dxa" w:w="2880"/>
          </w:tcPr>
          <w:p>
            <w:r>
              <w:t>-0.0153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AGE_YEARS &gt; 57.56</w:t>
            </w:r>
          </w:p>
        </w:tc>
        <w:tc>
          <w:tcPr>
            <w:tcW w:type="dxa" w:w="2880"/>
          </w:tcPr>
          <w:p>
            <w:r>
              <w:t>0.0398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-0.0343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0.49 &lt; EXT_SOURCE_2 &lt;= 0.74</w:t>
            </w:r>
          </w:p>
        </w:tc>
        <w:tc>
          <w:tcPr>
            <w:tcW w:type="dxa" w:w="2880"/>
          </w:tcPr>
          <w:p>
            <w:r>
              <w:t>-0.0292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INSTAL_CNT_PAYMENTS &gt; 32.00</w:t>
            </w:r>
          </w:p>
        </w:tc>
        <w:tc>
          <w:tcPr>
            <w:tcW w:type="dxa" w:w="2880"/>
          </w:tcPr>
          <w:p>
            <w:r>
              <w:t>-0.0233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INSTAL_MEAN_PAYMENT_RATIO &gt; 0.94</w:t>
            </w:r>
          </w:p>
        </w:tc>
        <w:tc>
          <w:tcPr>
            <w:tcW w:type="dxa" w:w="2880"/>
          </w:tcPr>
          <w:p>
            <w:r>
              <w:t>0.0216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EXT_SOURCE_3 &lt;= 0.49</w:t>
            </w:r>
          </w:p>
        </w:tc>
        <w:tc>
          <w:tcPr>
            <w:tcW w:type="dxa" w:w="2880"/>
          </w:tcPr>
          <w:p>
            <w:r>
              <w:t>0.0198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3472.36 &lt; BUREAU_AMT_CREDIT_SUM_DEBT_TOTAL &lt;= 16357.52</w:t>
            </w:r>
          </w:p>
        </w:tc>
        <w:tc>
          <w:tcPr>
            <w:tcW w:type="dxa" w:w="2880"/>
          </w:tcPr>
          <w:p>
            <w:r>
              <w:t>0.0174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PREVAPP_MEAN_AMT_APPLICATION &lt;= 47323.38</w:t>
            </w:r>
          </w:p>
        </w:tc>
        <w:tc>
          <w:tcPr>
            <w:tcW w:type="dxa" w:w="2880"/>
          </w:tcPr>
          <w:p>
            <w:r>
              <w:t>0.0167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lim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scored customers selected from this run's own predictions: Most-confident correct default flag, Most-confident correct non-default, A real misclassified customer.</w:t>
      </w:r>
    </w:p>
    <w:p>
      <w:r>
        <w:rPr>
          <w:i/>
          <w:color w:val="595959"/>
        </w:rPr>
        <w:t>Unlike SHAP's global feature-importance ranking above, LIME shows exactly which real feature values moved THIS SPECIFIC customer's score — useful for explaining an individual credit-score result to a customer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4A3AA7"/>
        </w:rPr>
        <w:t>Statistical Validation (SOP Stage 4)</w:t>
      </w:r>
    </w:p>
    <w:p>
      <w:r>
        <w:t>Bootstrap 95% CI on score AUC (1000 resamples): [0.9468, 0.9696].</w:t>
      </w:r>
    </w:p>
    <w:p>
      <w:r>
        <w:t>Mean calibration gap across 10 PD deciles: 0.0984 (threshold: &lt;0.1).</w:t>
      </w:r>
    </w:p>
    <w:p>
      <w:r>
        <w:t>Split-half PSI on the SCORE distribution: 0.0008 (threshold: &lt;0.1).</w:t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Mean calibration gap across 10 real PD deciles is 0.0984 (ASSUMPTION threshold: &lt;0.1), so the score is well-calibrated.</w:t>
      </w:r>
    </w:p>
    <w:p>
      <w:r>
        <w:rPr>
          <w:i/>
          <w:color w:val="595959"/>
        </w:rPr>
        <w:t>Split-half PSI on the real SCORE distribution is 0.0008 (ASSUMPTION threshold: &lt;0.1), indicating a stable score distribution.</w:t>
      </w:r>
    </w:p>
    <w:p>
      <w:pPr>
        <w:pStyle w:val="Heading1"/>
      </w:pPr>
      <w:r>
        <w:rPr>
          <w:color w:val="E34948"/>
        </w:rPr>
        <w:t>Portfolio &amp; Financial Impact (real volume figures + one labeled assumption)</w:t>
      </w:r>
    </w:p>
    <w:p>
      <w:r>
        <w:t>Total real scored portfolio volume (AMT_CREDIT): $1,726,180,608 across 4,000 real customers.</w:t>
      </w:r>
    </w:p>
    <w:p>
      <w:r>
        <w:t>ASSUMPTION (illustrative manual-scoring cost, $3.00/customer): applied only to the automated-scoring count, illustrative cost avoided = $12,000. This is a labeled estimate, not a real observed figure.</w:t>
      </w:r>
    </w:p>
    <w:p>
      <w:pPr>
        <w:pStyle w:val="Heading1"/>
      </w:pPr>
      <w:r>
        <w:rPr>
          <w:color w:val="2A78D6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upstream_model_loaded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feature_set_matches_upstream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all_customers_scored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score_within_declared_range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no_pd_out_of_bounds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