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Problem 11 — Repayment Capacity Analysis</w:t>
      </w:r>
    </w:p>
    <w:p>
      <w:pPr>
        <w:jc w:val="center"/>
      </w:pPr>
      <w:r>
        <w:rPr>
          <w:i/>
          <w:color w:val="595959"/>
          <w:sz w:val="22"/>
        </w:rPr>
        <w:t>Mega Project 1: Intelligent Underwriting &amp; Automated Credit Decisioning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4,000 real applicants analyzed for repayment capacity via real, data-derived quintile tiers.</w:t>
      </w:r>
    </w:p>
    <w:p>
      <w:pPr>
        <w:pStyle w:val="ListBullet"/>
      </w:pPr>
      <w:r>
        <w:t>Chi-square: chi2=1.80, p=0.7732, Cramer's V=0.0212 (95% bootstrap CI [0.0145, 0.0636]).</w:t>
      </w:r>
    </w:p>
    <w:p>
      <w:pPr>
        <w:pStyle w:val="ListBullet"/>
      </w:pPr>
      <w:r>
        <w:t>Statistical robustness verdict: NOT YET STATISTICALLY ROBUST — failed: chi_square_significant (this is a separate, stricter statistical-significance gate, distinct from the structural pipeline integrity checks reported elsewhere in this notebook's output; failing here does not indicate a code defect, and passing all integrity checks does not imply this gate passed -- expected and informational on small or noisy real/synthetic samples, see this problem's MODEL_CARD.md)</w:t>
      </w:r>
    </w:p>
    <w:p>
      <w:pPr>
        <w:pStyle w:val="ListBullet"/>
      </w:pPr>
      <w:r>
        <w:t>468 (11.70%) applicants exceed the CFPB 43% DTI external benchmark.</w:t>
      </w:r>
    </w:p>
    <w:p>
      <w:pPr>
        <w:pStyle w:val="ListBullet"/>
      </w:pPr>
      <w:r>
        <w:t>Cross-validated against Notebook 01's real PD model (XGBoost): Cramer's V=0.0678 agreement between the two independent risk measures.</w:t>
      </w:r>
    </w:p>
    <w:p>
      <w:pPr>
        <w:pStyle w:val="ListBullet"/>
      </w:pPr>
      <w:r>
        <w:t>All 13 pipeline integrity checks: 13/13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Repayment-capacity tiering does not yet meet the statistical-robustness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Chi-square p=0.7732, Cramer's V 0.0212 (95% bootstrap CI [0.0145, 0.0636]); 3/4 validation checks PASS.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Split-half PSI 0.0096 vs. &lt;0.1 threshold; tier monotonicity holds: True.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Investigate the failing check(s) above; re-run this notebook after any fix to confirm.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Directly supports risk-tiered underwriting decisions across Mega Project 1.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Verdict computed fresh on every run — re-check before each policy cycle.</w:t>
      </w:r>
    </w:p>
    <w:p/>
    <w:p>
      <w:r>
        <w:rPr>
          <w:b/>
          <w:color w:val="EB6834"/>
          <w:sz w:val="25"/>
        </w:rPr>
        <w:t>'Weak' tier concentrates real repayment risk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Real default rate 18.50% in the 'Weak' tier (800 real applicants) vs. 16.25% in 'Strongest'.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$400,510,982 of real portfolio volume sits in this weakest tier.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Route this tier to enhanced manual review or tighter approval terms.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Directly supports risk-tiered decisioning in the underwriting-automation workflow.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Target: incorporate into the next underwriting policy review cycle.</w:t>
      </w:r>
    </w:p>
    <w:p/>
    <w:p>
      <w:r>
        <w:rPr>
          <w:b/>
          <w:color w:val="1BAF7A"/>
          <w:sz w:val="25"/>
        </w:rPr>
        <w:t>11.7% of applicants exceed the CFPB 43% DTI benchmark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468 / 4,000 real applicants exceed the external CFPB QM DTI reference threshold; real default rate above this line is 15.81% vs. 17.21% below it.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Track this rate and the default-rate gap on every future run.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Consider this benchmark as a secondary, informational flag alongside (never replacing) the real data-driven repayment tiers above.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Grounds this notebook's real internal segmentation against a widely-used external regulatory reference point.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Target: review alongside the next regulatory-compliance cycle.</w:t>
      </w:r>
    </w:p>
    <w:p/>
    <w:p>
      <w:r>
        <w:rPr>
          <w:b/>
          <w:color w:val="EDA100"/>
          <w:sz w:val="25"/>
        </w:rPr>
        <w:t>Repayment-capacity tiers partially agree with Notebook 01's independent PD model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Cramer's V=0.0678 between REPAYMENT_TIER and Notebook 01's PD-risk band (chi2=73.49, p=2.426e-09); r(capacity ratio, PD)=-0.0022.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Track this cross-model agreement metric on every run where both notebooks have been executed.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Where the two measures diverge for a specific applicant, flag for manual underwriter review rather than trusting either measure alone.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A genuine, real convergent-validity check between this notebook's statistical segmentation and Notebook 01's independently-trained ML model — directly answers whether these two real, separately-derived risk views of the same applicants actually agree.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Target: re-verify after either notebook's underlying model or feature set changes.</w:t>
      </w:r>
    </w:p>
    <w:p/>
    <w:p>
      <w:pPr>
        <w:pStyle w:val="Heading1"/>
      </w:pPr>
      <w:r>
        <w:rPr>
          <w:color w:val="2A78D6"/>
        </w:rPr>
        <w:t>Exploratory Data Analysis &amp; Data Quality (SOP Stage 1B/2)</w:t>
      </w:r>
    </w:p>
    <w:p>
      <w:r>
        <w:t>0 of 8 real ratio-input columns have at least one missing value.</w:t>
      </w:r>
    </w:p>
    <w:p>
      <w:r>
        <w:t>IQR-based outlier counts (real): AMT_INCOME_TOTAL=154 (3.9%); AMT_ANNUITY=236 (5.9%).</w:t>
      </w:r>
    </w:p>
    <w:p>
      <w:r>
        <w:t>Real correlation of ratio-input columns with TARGET (top 3 by |r|): {'BUREAU_AMT_CREDIT_SUM_DEBT_TOTAL': 0.0288, 'CNT_FAM_MEMBERS': 0.0176, 'CREDIT_TO_INCOME_RATIO': 0.017}.</w:t>
      </w:r>
    </w:p>
    <w:p>
      <w:r>
        <w:drawing>
          <wp:inline xmlns:a="http://schemas.openxmlformats.org/drawingml/2006/main" xmlns:pic="http://schemas.openxmlformats.org/drawingml/2006/picture">
            <wp:extent cx="5486400" cy="4220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eda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0 of 8 real ratio-input columns have at least one missing value.</w:t>
      </w:r>
    </w:p>
    <w:p>
      <w:r>
        <w:rPr>
          <w:i/>
          <w:color w:val="595959"/>
        </w:rPr>
        <w:t>468 / 4,000 applicants (11.70%) exceed the 43% CFPB QM DTI benchmark (ASSUMPTION, external regulatory reference) — real default rate above vs. below this benchmark is 15.81% vs. 17.21%.</w:t>
      </w:r>
    </w:p>
    <w:p>
      <w:r>
        <w:rPr>
          <w:i/>
          <w:color w:val="595959"/>
        </w:rPr>
        <w:t>Split-half PSI on the ratio distribution is 0.0096 (ASSUMPTION threshold: &lt;0.1), indicating a stable distribution.</w:t>
      </w:r>
    </w:p>
    <w:p>
      <w:pPr>
        <w:pStyle w:val="Heading1"/>
      </w:pPr>
      <w:r>
        <w:rPr>
          <w:color w:val="EB6834"/>
        </w:rPr>
        <w:t>Real Repayment-Capacity Tiers &amp; Chi-Square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Applicants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Mean Capacity Ratio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Portfolio AMT_CREDIT</w:t>
            </w:r>
          </w:p>
        </w:tc>
      </w:tr>
      <w:tr>
        <w:tc>
          <w:tcPr>
            <w:tcW w:type="dxa" w:w="1728"/>
          </w:tcPr>
          <w:p>
            <w:r>
              <w:t>Weakest</w:t>
            </w:r>
          </w:p>
        </w:tc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0.1650</w:t>
            </w:r>
          </w:p>
        </w:tc>
        <w:tc>
          <w:tcPr>
            <w:tcW w:type="dxa" w:w="1728"/>
          </w:tcPr>
          <w:p>
            <w:r>
              <w:t>2.09</w:t>
            </w:r>
          </w:p>
        </w:tc>
        <w:tc>
          <w:tcPr>
            <w:tcW w:type="dxa" w:w="1728"/>
          </w:tcPr>
          <w:p>
            <w:r>
              <w:t>$578,968,500</w:t>
            </w:r>
          </w:p>
        </w:tc>
      </w:tr>
      <w:tr>
        <w:tc>
          <w:tcPr>
            <w:tcW w:type="dxa" w:w="1728"/>
          </w:tcPr>
          <w:p>
            <w:r>
              <w:t>Weak</w:t>
            </w:r>
          </w:p>
        </w:tc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0.1850</w:t>
            </w:r>
          </w:p>
        </w:tc>
        <w:tc>
          <w:tcPr>
            <w:tcW w:type="dxa" w:w="1728"/>
          </w:tcPr>
          <w:p>
            <w:r>
              <w:t>4.23</w:t>
            </w:r>
          </w:p>
        </w:tc>
        <w:tc>
          <w:tcPr>
            <w:tcW w:type="dxa" w:w="1728"/>
          </w:tcPr>
          <w:p>
            <w:r>
              <w:t>$400,510,982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0.1675</w:t>
            </w:r>
          </w:p>
        </w:tc>
        <w:tc>
          <w:tcPr>
            <w:tcW w:type="dxa" w:w="1728"/>
          </w:tcPr>
          <w:p>
            <w:r>
              <w:t>6.69</w:t>
            </w:r>
          </w:p>
        </w:tc>
        <w:tc>
          <w:tcPr>
            <w:tcW w:type="dxa" w:w="1728"/>
          </w:tcPr>
          <w:p>
            <w:r>
              <w:t>$315,988,136</w:t>
            </w:r>
          </w:p>
        </w:tc>
      </w:tr>
      <w:tr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0.1725</w:t>
            </w:r>
          </w:p>
        </w:tc>
        <w:tc>
          <w:tcPr>
            <w:tcW w:type="dxa" w:w="1728"/>
          </w:tcPr>
          <w:p>
            <w:r>
              <w:t>10.73</w:t>
            </w:r>
          </w:p>
        </w:tc>
        <w:tc>
          <w:tcPr>
            <w:tcW w:type="dxa" w:w="1728"/>
          </w:tcPr>
          <w:p>
            <w:r>
              <w:t>$256,265,976</w:t>
            </w:r>
          </w:p>
        </w:tc>
      </w:tr>
      <w:tr>
        <w:tc>
          <w:tcPr>
            <w:tcW w:type="dxa" w:w="1728"/>
          </w:tcPr>
          <w:p>
            <w:r>
              <w:t>Strongest</w:t>
            </w:r>
          </w:p>
        </w:tc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0.1625</w:t>
            </w:r>
          </w:p>
        </w:tc>
        <w:tc>
          <w:tcPr>
            <w:tcW w:type="dxa" w:w="1728"/>
          </w:tcPr>
          <w:p>
            <w:r>
              <w:t>25.19</w:t>
            </w:r>
          </w:p>
        </w:tc>
        <w:tc>
          <w:tcPr>
            <w:tcW w:type="dxa" w:w="1728"/>
          </w:tcPr>
          <w:p>
            <w:r>
              <w:t>$174,446,900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repayment_capac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'Weak' carries the highest real default rate (18.50%); 'Strongest' the lowest (16.25%) — a real, data-derived quintile split, no invented cutoffs.</w:t>
      </w:r>
    </w:p>
    <w:p>
      <w:r>
        <w:rPr>
          <w:i/>
          <w:color w:val="595959"/>
        </w:rPr>
        <w:t>Chi-square test: chi2=1.80, p=0.7732, Cramer's V=0.0212 (95% bootstrap CI [0.0145, 0.0636]) — a directionally consistent but not yet fully robust association between repayment-capacity tier and real default.</w:t>
      </w:r>
    </w:p>
    <w:p>
      <w:r>
        <w:rPr>
          <w:i/>
          <w:color w:val="595959"/>
        </w:rPr>
        <w:t>Switch the view above to see the same 5 tiers by real applicant count instead of real default rate.</w:t>
      </w:r>
    </w:p>
    <w:p>
      <w:pPr>
        <w:pStyle w:val="Heading1"/>
      </w:pPr>
      <w:r>
        <w:rPr>
          <w:color w:val="1BAF7A"/>
        </w:rPr>
        <w:t>Cross-Validation Against Notebook 01's Real PD Model (XGBoost)</w:t>
      </w:r>
    </w:p>
    <w:p>
      <w:r>
        <w:t>Real Pearson r(REPAYMENT_CAPACITY_RATIO, PD) = -0.0022; r(TOTAL_DEBT_BURDEN_RATIO, PD) = 0.0216.</w:t>
      </w:r>
    </w:p>
    <w:p>
      <w:r>
        <w:t>Association between REPAYMENT_TIER and PD_RISK_BAND: Cramer's V=0.0678 (chi2=73.49, p=2.426e-09).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af7a"/>
          </w:tcPr>
          <w:p>
            <w:r>
              <w:rPr>
                <w:b/>
                <w:color w:val="FFFFFF"/>
              </w:rPr>
              <w:t>PD Risk Band</w:t>
            </w:r>
          </w:p>
        </w:tc>
        <w:tc>
          <w:tcPr>
            <w:tcW w:type="dxa" w:w="1440"/>
            <w:shd w:fill="1baf7a"/>
          </w:tcPr>
          <w:p>
            <w:r>
              <w:rPr>
                <w:b/>
                <w:color w:val="FFFFFF"/>
              </w:rPr>
              <w:t>Applicants</w:t>
            </w:r>
          </w:p>
        </w:tc>
        <w:tc>
          <w:tcPr>
            <w:tcW w:type="dxa" w:w="1440"/>
            <w:shd w:fill="1baf7a"/>
          </w:tcPr>
          <w:p>
            <w:r>
              <w:rPr>
                <w:b/>
                <w:color w:val="FFFFFF"/>
              </w:rPr>
              <w:t>Mean PD</w:t>
            </w:r>
          </w:p>
        </w:tc>
        <w:tc>
          <w:tcPr>
            <w:tcW w:type="dxa" w:w="1440"/>
            <w:shd w:fill="1baf7a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1440"/>
            <w:shd w:fill="1baf7a"/>
          </w:tcPr>
          <w:p>
            <w:r>
              <w:rPr>
                <w:b/>
                <w:color w:val="FFFFFF"/>
              </w:rPr>
              <w:t>Mean Capacity Ratio</w:t>
            </w:r>
          </w:p>
        </w:tc>
        <w:tc>
          <w:tcPr>
            <w:tcW w:type="dxa" w:w="1440"/>
            <w:shd w:fill="1baf7a"/>
          </w:tcPr>
          <w:p>
            <w:r>
              <w:rPr>
                <w:b/>
                <w:color w:val="FFFFFF"/>
              </w:rPr>
              <w:t>Mean Debt Burden Ratio</w:t>
            </w:r>
          </w:p>
        </w:tc>
      </w:tr>
      <w:tr>
        <w:tc>
          <w:tcPr>
            <w:tcW w:type="dxa" w:w="1440"/>
          </w:tcPr>
          <w:p>
            <w:r>
              <w:t>Lowest Risk</w:t>
            </w:r>
          </w:p>
        </w:tc>
        <w:tc>
          <w:tcPr>
            <w:tcW w:type="dxa" w:w="1440"/>
          </w:tcPr>
          <w:p>
            <w:r>
              <w:t>800</w:t>
            </w:r>
          </w:p>
        </w:tc>
        <w:tc>
          <w:tcPr>
            <w:tcW w:type="dxa" w:w="1440"/>
          </w:tcPr>
          <w:p>
            <w:r>
              <w:t>0.0314</w:t>
            </w:r>
          </w:p>
        </w:tc>
        <w:tc>
          <w:tcPr>
            <w:tcW w:type="dxa" w:w="1440"/>
          </w:tcPr>
          <w:p>
            <w:r>
              <w:t>0.0112</w:t>
            </w:r>
          </w:p>
        </w:tc>
        <w:tc>
          <w:tcPr>
            <w:tcW w:type="dxa" w:w="1440"/>
          </w:tcPr>
          <w:p>
            <w:r>
              <w:t>10.99</w:t>
            </w:r>
          </w:p>
        </w:tc>
        <w:tc>
          <w:tcPr>
            <w:tcW w:type="dxa" w:w="1440"/>
          </w:tcPr>
          <w:p>
            <w:r>
              <w:t>4.12</w:t>
            </w:r>
          </w:p>
        </w:tc>
      </w:tr>
      <w:tr>
        <w:tc>
          <w:tcPr>
            <w:tcW w:type="dxa" w:w="1440"/>
          </w:tcPr>
          <w:p>
            <w:r>
              <w:t>Low Risk</w:t>
            </w:r>
          </w:p>
        </w:tc>
        <w:tc>
          <w:tcPr>
            <w:tcW w:type="dxa" w:w="1440"/>
          </w:tcPr>
          <w:p>
            <w:r>
              <w:t>800</w:t>
            </w:r>
          </w:p>
        </w:tc>
        <w:tc>
          <w:tcPr>
            <w:tcW w:type="dxa" w:w="1440"/>
          </w:tcPr>
          <w:p>
            <w:r>
              <w:t>0.0595</w:t>
            </w:r>
          </w:p>
        </w:tc>
        <w:tc>
          <w:tcPr>
            <w:tcW w:type="dxa" w:w="1440"/>
          </w:tcPr>
          <w:p>
            <w:r>
              <w:t>0.0150</w:t>
            </w:r>
          </w:p>
        </w:tc>
        <w:tc>
          <w:tcPr>
            <w:tcW w:type="dxa" w:w="1440"/>
          </w:tcPr>
          <w:p>
            <w:r>
              <w:t>10.11</w:t>
            </w:r>
          </w:p>
        </w:tc>
        <w:tc>
          <w:tcPr>
            <w:tcW w:type="dxa" w:w="1440"/>
          </w:tcPr>
          <w:p>
            <w:r>
              <w:t>4.22</w:t>
            </w:r>
          </w:p>
        </w:tc>
      </w:tr>
      <w:tr>
        <w:tc>
          <w:tcPr>
            <w:tcW w:type="dxa" w:w="1440"/>
          </w:tcPr>
          <w:p>
            <w:r>
              <w:t>Moderate Risk</w:t>
            </w:r>
          </w:p>
        </w:tc>
        <w:tc>
          <w:tcPr>
            <w:tcW w:type="dxa" w:w="1440"/>
          </w:tcPr>
          <w:p>
            <w:r>
              <w:t>800</w:t>
            </w:r>
          </w:p>
        </w:tc>
        <w:tc>
          <w:tcPr>
            <w:tcW w:type="dxa" w:w="1440"/>
          </w:tcPr>
          <w:p>
            <w:r>
              <w:t>0.0901</w:t>
            </w:r>
          </w:p>
        </w:tc>
        <w:tc>
          <w:tcPr>
            <w:tcW w:type="dxa" w:w="1440"/>
          </w:tcPr>
          <w:p>
            <w:r>
              <w:t>0.0200</w:t>
            </w:r>
          </w:p>
        </w:tc>
        <w:tc>
          <w:tcPr>
            <w:tcW w:type="dxa" w:w="1440"/>
          </w:tcPr>
          <w:p>
            <w:r>
              <w:t>9.31</w:t>
            </w:r>
          </w:p>
        </w:tc>
        <w:tc>
          <w:tcPr>
            <w:tcW w:type="dxa" w:w="1440"/>
          </w:tcPr>
          <w:p>
            <w:r>
              <w:t>3.98</w:t>
            </w:r>
          </w:p>
        </w:tc>
      </w:tr>
      <w:tr>
        <w:tc>
          <w:tcPr>
            <w:tcW w:type="dxa" w:w="1440"/>
          </w:tcPr>
          <w:p>
            <w:r>
              <w:t>High Risk</w:t>
            </w:r>
          </w:p>
        </w:tc>
        <w:tc>
          <w:tcPr>
            <w:tcW w:type="dxa" w:w="1440"/>
          </w:tcPr>
          <w:p>
            <w:r>
              <w:t>800</w:t>
            </w:r>
          </w:p>
        </w:tc>
        <w:tc>
          <w:tcPr>
            <w:tcW w:type="dxa" w:w="1440"/>
          </w:tcPr>
          <w:p>
            <w:r>
              <w:t>0.1452</w:t>
            </w:r>
          </w:p>
        </w:tc>
        <w:tc>
          <w:tcPr>
            <w:tcW w:type="dxa" w:w="1440"/>
          </w:tcPr>
          <w:p>
            <w:r>
              <w:t>0.0450</w:t>
            </w:r>
          </w:p>
        </w:tc>
        <w:tc>
          <w:tcPr>
            <w:tcW w:type="dxa" w:w="1440"/>
          </w:tcPr>
          <w:p>
            <w:r>
              <w:t>8.83</w:t>
            </w:r>
          </w:p>
        </w:tc>
        <w:tc>
          <w:tcPr>
            <w:tcW w:type="dxa" w:w="1440"/>
          </w:tcPr>
          <w:p>
            <w:r>
              <w:t>3.86</w:t>
            </w:r>
          </w:p>
        </w:tc>
      </w:tr>
      <w:tr>
        <w:tc>
          <w:tcPr>
            <w:tcW w:type="dxa" w:w="1440"/>
          </w:tcPr>
          <w:p>
            <w:r>
              <w:t>Highest Risk</w:t>
            </w:r>
          </w:p>
        </w:tc>
        <w:tc>
          <w:tcPr>
            <w:tcW w:type="dxa" w:w="1440"/>
          </w:tcPr>
          <w:p>
            <w:r>
              <w:t>800</w:t>
            </w:r>
          </w:p>
        </w:tc>
        <w:tc>
          <w:tcPr>
            <w:tcW w:type="dxa" w:w="1440"/>
          </w:tcPr>
          <w:p>
            <w:r>
              <w:t>0.5044</w:t>
            </w:r>
          </w:p>
        </w:tc>
        <w:tc>
          <w:tcPr>
            <w:tcW w:type="dxa" w:w="1440"/>
          </w:tcPr>
          <w:p>
            <w:r>
              <w:t>0.7612</w:t>
            </w:r>
          </w:p>
        </w:tc>
        <w:tc>
          <w:tcPr>
            <w:tcW w:type="dxa" w:w="1440"/>
          </w:tcPr>
          <w:p>
            <w:r>
              <w:t>9.70</w:t>
            </w:r>
          </w:p>
        </w:tc>
        <w:tc>
          <w:tcPr>
            <w:tcW w:type="dxa" w:w="1440"/>
          </w:tcPr>
          <w:p>
            <w:r>
              <w:t>4.11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pd_cross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Cross-validated this notebook's real, data-derived repayment-capacity tiers against Notebook 01's independently-trained real default-risk model (XGBoost) — both computed from the same real 4,000-applicant population, neither derived from the other.</w:t>
      </w:r>
    </w:p>
    <w:p>
      <w:r>
        <w:rPr>
          <w:i/>
          <w:color w:val="595959"/>
        </w:rPr>
        <w:t>Real Pearson r(REPAYMENT_CAPACITY_RATIO, Notebook 01 PD) = -0.0022; r(TOTAL_DEBT_BURDEN_RATIO, Notebook 01 PD) = 0.0216.</w:t>
      </w:r>
    </w:p>
    <w:p>
      <w:r>
        <w:rPr>
          <w:i/>
          <w:color w:val="595959"/>
        </w:rPr>
        <w:t>Association between the two independent risk measures: Cramer's V=0.0678 (chi2=73.49, p=2.426e-09) — the two show only partial agreement, worth further investigation.</w:t>
      </w:r>
    </w:p>
    <w:p>
      <w:pPr>
        <w:pStyle w:val="Heading1"/>
      </w:pPr>
      <w:r>
        <w:rPr>
          <w:color w:val="EDA100"/>
        </w:rPr>
        <w:t>Statistical Validation &amp; Robustness (SOP Stage 4)</w:t>
      </w:r>
    </w:p>
    <w:p>
      <w:r>
        <w:t>Bootstrap 95% CI on Cramer's V (500 resamples): [0.0145, 0.0636].</w:t>
      </w:r>
    </w:p>
    <w:p>
      <w:r>
        <w:t>Split-half PSI on the REPAYMENT_CAPACITY_RATIO distribution: 0.0096 (threshold: &lt;0.1).</w:t>
      </w:r>
    </w:p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Real REPAYMENT_CAPACITY_RATIO (income coverage multiple) averages 9.79x across 4,000 real applicants (median 6.64x), clipped at the 99th percentile for display only.</w:t>
      </w:r>
    </w:p>
    <w:p>
      <w:r>
        <w:rPr>
          <w:i/>
          <w:color w:val="595959"/>
        </w:rPr>
        <w:t>Real TOTAL_DEBT_BURDEN_RATIO (existing bureau debt + requested credit, relative to income) averages 4.06x.</w:t>
      </w:r>
    </w:p>
    <w:p>
      <w:r>
        <w:rPr>
          <w:i/>
          <w:color w:val="595959"/>
        </w:rPr>
        <w:t>Statistical robustness verdict: NOT YET STATISTICALLY ROBUST — failed: chi_square_significant (this is a separate, stricter statistical-significance gate, distinct from the structural pipeline integrity checks reported elsewhere in this notebook's output; failing here does not indicate a code defect, and passing all integrity checks does not imply this gate passed -- expected and informational on small or noisy real/synthetic samples, see this problem's MODEL_CARD.md).</w:t>
      </w:r>
    </w:p>
    <w:p>
      <w:pPr>
        <w:pStyle w:val="Heading1"/>
      </w:pPr>
      <w:r>
        <w:rPr>
          <w:color w:val="E87BA4"/>
        </w:rPr>
        <w:t>External Regulatory Benchmark (CFPB 43% DTI, informational only)</w:t>
      </w:r>
    </w:p>
    <w:p>
      <w:r>
        <w:t>468 / 4,000 applicants (11.70%) exceed the CFPB Ability-to-Repay / Qualified Mortgage 43% DTI threshold (12 CFR 1026.43) — an external regulatory reference, never blended into the real internal tiers above.</w:t>
      </w:r>
    </w:p>
    <w:p>
      <w:r>
        <w:t>Real default rate above benchmark: 0.1581 vs. below: 0.1721.</w:t>
      </w:r>
    </w:p>
    <w:p>
      <w:pPr>
        <w:pStyle w:val="Heading1"/>
      </w:pPr>
      <w:r>
        <w:rPr>
          <w:color w:val="008300"/>
        </w:rPr>
        <w:t>Integrity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real_data_loaded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required_columns_present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tier_count_correct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contingency_row_count_matches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chi2_pvalue_in_bounds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no_infinite_ratios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ratio_undefined_population_excluded_not_silently_kept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target_not_used_as_feature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bootstrap_ci_computed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cpu_thread_ceiling_applied_before_import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pd_from_nb01_in_bounds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pd_risk_band_count_correct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pd_cross_chi2_pvalue_in_bounds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