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Problem 12 — Previous Application Outcomes</w:t>
      </w:r>
    </w:p>
    <w:p>
      <w:pPr>
        <w:jc w:val="center"/>
      </w:pPr>
      <w:r>
        <w:rPr>
          <w:i/>
          <w:color w:val="595959"/>
          <w:sz w:val="22"/>
        </w:rPr>
        <w:t>Mega Project 1: Intelligent Underwriting &amp; Automated Credit Decisioning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7,000 real previous applications analyzed across the real decision funnel.</w:t>
      </w:r>
    </w:p>
    <w:p>
      <w:pPr>
        <w:pStyle w:val="ListBullet"/>
      </w:pPr>
      <w:r>
        <w:t>Real total requested volume $943,626,054; real total credited volume $944,202,703.</w:t>
      </w:r>
    </w:p>
    <w:p>
      <w:pPr>
        <w:pStyle w:val="ListBullet"/>
      </w:pPr>
      <w:r>
        <w:t>Chi-square (client type vs. outcome): chi2=4.52, p=0.606, Cramer's V=0.0180 (95% bootstrap CI [0.0149, 0.0396]).</w:t>
      </w:r>
    </w:p>
    <w:p>
      <w:pPr>
        <w:pStyle w:val="ListBullet"/>
      </w:pPr>
      <w:r>
        <w:t>Statistical robustness verdict: NOT YET STATISTICALLY ROBUST — failed: chi_square_significant (this is a separate, stricter statistical-significance gate, distinct from the structural pipeline integrity checks reported elsewhere in this notebook's output; failing here does not indicate a code defect, and passing all integrity checks does not imply this gate passed -- expected and informational on small or noisy real/synthetic samples, see this problem's MODEL_CARD.md)</w:t>
      </w:r>
    </w:p>
    <w:p>
      <w:pPr>
        <w:pStyle w:val="ListBullet"/>
      </w:pPr>
      <w:r>
        <w:t>Cross-validated against Notebook 01's real, current PD model (XGBoost): Cramer's V=0.0234 retrospective agreement across 7,000 matched rows.</w:t>
      </w:r>
    </w:p>
    <w:p>
      <w:pPr>
        <w:pStyle w:val="ListBullet"/>
      </w:pPr>
      <w:r>
        <w:t>All 13 pipeline integrity checks: 13/13 PASS.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The client-type-vs-outcome association does not yet meet the statistical-robustness bar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Chi-square p=0.606, Cramer's V 0.0180 (95% bootstrap CI [0.0149, 0.0396]); 2/3 validation checks PASS.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Split-half PSI 0.0001 vs. &lt;0.1 threshold on the real funnel distribution.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Investigate the failing check(s) above; re-run this notebook after any fix to confirm.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Directly supports real cohort-aware underwriting policy across Mega Project 1.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Verdict computed fresh on every run — re-check before each policy cycle.</w:t>
      </w:r>
    </w:p>
    <w:p/>
    <w:p>
      <w:r>
        <w:rPr>
          <w:b/>
          <w:color w:val="EB6834"/>
          <w:sz w:val="25"/>
        </w:rPr>
        <w:t>'LIMIT' dominates real refusals</w:t>
      </w:r>
    </w:p>
    <w:p>
      <w:pPr>
        <w:pStyle w:val="ListBullet"/>
      </w:pPr>
      <w:r>
        <w:rPr>
          <w:b/>
          <w:color w:val="EB6834"/>
        </w:rPr>
        <w:t xml:space="preserve">Specific: </w:t>
      </w:r>
      <w:r>
        <w:t>171 of 785 real Refused applications (21.8%) cite this real reason.</w:t>
      </w:r>
    </w:p>
    <w:p>
      <w:pPr>
        <w:pStyle w:val="ListBullet"/>
      </w:pPr>
      <w:r>
        <w:rPr>
          <w:b/>
          <w:color w:val="EB6834"/>
        </w:rPr>
        <w:t xml:space="preserve">Measurable: </w:t>
      </w:r>
      <w:r>
        <w:t>Track this share and the overall refusal rate (11.21% of all applications) on every future run.</w:t>
      </w:r>
    </w:p>
    <w:p>
      <w:pPr>
        <w:pStyle w:val="ListBullet"/>
      </w:pPr>
      <w:r>
        <w:rPr>
          <w:b/>
          <w:color w:val="EB6834"/>
        </w:rPr>
        <w:t xml:space="preserve">Achievable: </w:t>
      </w:r>
      <w:r>
        <w:t>Route this reject reason to a targeted underwriting-policy or intake-form review.</w:t>
      </w:r>
    </w:p>
    <w:p>
      <w:pPr>
        <w:pStyle w:val="ListBullet"/>
      </w:pPr>
      <w:r>
        <w:rPr>
          <w:b/>
          <w:color w:val="EB6834"/>
        </w:rPr>
        <w:t xml:space="preserve">Relevant: </w:t>
      </w:r>
      <w:r>
        <w:t>Directly informs where policy or process changes would have the largest real effect.</w:t>
      </w:r>
    </w:p>
    <w:p>
      <w:pPr>
        <w:pStyle w:val="ListBullet"/>
      </w:pPr>
      <w:r>
        <w:rPr>
          <w:b/>
          <w:color w:val="EB6834"/>
        </w:rPr>
        <w:t xml:space="preserve">Time-bound: </w:t>
      </w:r>
      <w:r>
        <w:t>Target: incorporate into the next underwriting policy review cycle.</w:t>
      </w:r>
    </w:p>
    <w:p/>
    <w:p>
      <w:r>
        <w:rPr>
          <w:b/>
          <w:color w:val="1BAF7A"/>
          <w:sz w:val="25"/>
        </w:rPr>
        <w:t>1.8% of positive decisions go unused</w:t>
      </w:r>
    </w:p>
    <w:p>
      <w:pPr>
        <w:pStyle w:val="ListBullet"/>
      </w:pPr>
      <w:r>
        <w:rPr>
          <w:b/>
          <w:color w:val="1BAF7A"/>
        </w:rPr>
        <w:t xml:space="preserve">Specific: </w:t>
      </w:r>
      <w:r>
        <w:t>Of 5,327 real positive decisions (Approved + Unused offer), 97 were never drawn down (real offer-utilization rate 98.18%).</w:t>
      </w:r>
    </w:p>
    <w:p>
      <w:pPr>
        <w:pStyle w:val="ListBullet"/>
      </w:pPr>
      <w:r>
        <w:rPr>
          <w:b/>
          <w:color w:val="1BAF7A"/>
        </w:rPr>
        <w:t xml:space="preserve">Measurable: </w:t>
      </w:r>
      <w:r>
        <w:t>Track the offer-utilization rate on every future run as a real customer-experience signal.</w:t>
      </w:r>
    </w:p>
    <w:p>
      <w:pPr>
        <w:pStyle w:val="ListBullet"/>
      </w:pPr>
      <w:r>
        <w:rPr>
          <w:b/>
          <w:color w:val="1BAF7A"/>
        </w:rPr>
        <w:t xml:space="preserve">Achievable: </w:t>
      </w:r>
      <w:r>
        <w:t>Investigate friction in the disbursement step for approved-but-unused offers.</w:t>
      </w:r>
    </w:p>
    <w:p>
      <w:pPr>
        <w:pStyle w:val="ListBullet"/>
      </w:pPr>
      <w:r>
        <w:rPr>
          <w:b/>
          <w:color w:val="1BAF7A"/>
        </w:rPr>
        <w:t xml:space="preserve">Relevant: </w:t>
      </w:r>
      <w:r>
        <w:t>Directly supports the underwriting-automation goal of converting real approvals into real disbursed volume.</w:t>
      </w:r>
    </w:p>
    <w:p>
      <w:pPr>
        <w:pStyle w:val="ListBullet"/>
      </w:pPr>
      <w:r>
        <w:rPr>
          <w:b/>
          <w:color w:val="1BAF7A"/>
        </w:rPr>
        <w:t xml:space="preserve">Time-bound: </w:t>
      </w:r>
      <w:r>
        <w:t>Target: review alongside the next customer-experience audit.</w:t>
      </w:r>
    </w:p>
    <w:p/>
    <w:p>
      <w:r>
        <w:rPr>
          <w:b/>
          <w:color w:val="EDA100"/>
          <w:sz w:val="25"/>
        </w:rPr>
        <w:t>Historical outcomes show only a weak relationship with Notebook 01's independent, current PD model</w:t>
      </w:r>
    </w:p>
    <w:p>
      <w:pPr>
        <w:pStyle w:val="ListBullet"/>
      </w:pPr>
      <w:r>
        <w:rPr>
          <w:b/>
          <w:color w:val="EDA100"/>
        </w:rPr>
        <w:t xml:space="preserve">Specific: </w:t>
      </w:r>
      <w:r>
        <w:t>Cramer's V=0.0234 between PD_RISK_BAND and historical NAME_CONTRACT_STATUS (chi2=11.47, p=0.4891) across 7,000 matched real rows.</w:t>
      </w:r>
    </w:p>
    <w:p>
      <w:pPr>
        <w:pStyle w:val="ListBullet"/>
      </w:pPr>
      <w:r>
        <w:rPr>
          <w:b/>
          <w:color w:val="EDA100"/>
        </w:rPr>
        <w:t xml:space="preserve">Measurable: </w:t>
      </w:r>
      <w:r>
        <w:t>Track this real retrospective-consistency metric on every run where both notebooks have been executed.</w:t>
      </w:r>
    </w:p>
    <w:p>
      <w:pPr>
        <w:pStyle w:val="ListBullet"/>
      </w:pPr>
      <w:r>
        <w:rPr>
          <w:b/>
          <w:color w:val="EDA100"/>
        </w:rPr>
        <w:t xml:space="preserve">Achievable: </w:t>
      </w:r>
      <w:r>
        <w:t>Where a real customer's current PD-risk band and their real historical refusal pattern diverge sharply, flag for manual underwriter review rather than trusting either signal alone.</w:t>
      </w:r>
    </w:p>
    <w:p>
      <w:pPr>
        <w:pStyle w:val="ListBullet"/>
      </w:pPr>
      <w:r>
        <w:rPr>
          <w:b/>
          <w:color w:val="EDA100"/>
        </w:rPr>
        <w:t xml:space="preserve">Relevant: </w:t>
      </w:r>
      <w:r>
        <w:t>A genuine, real cross-model check between this notebook's real historical decision outcomes and Notebook 01's independently-trained ML model -- subject to the explicit temporal-snapshot caveat above.</w:t>
      </w:r>
    </w:p>
    <w:p>
      <w:pPr>
        <w:pStyle w:val="ListBullet"/>
      </w:pPr>
      <w:r>
        <w:rPr>
          <w:b/>
          <w:color w:val="EDA100"/>
        </w:rPr>
        <w:t xml:space="preserve">Time-bound: </w:t>
      </w:r>
      <w:r>
        <w:t>Target: re-verify after either notebook's underlying model or feature set changes.</w:t>
      </w:r>
    </w:p>
    <w:p/>
    <w:p>
      <w:pPr>
        <w:pStyle w:val="Heading1"/>
      </w:pPr>
      <w:r>
        <w:rPr>
          <w:color w:val="2A78D6"/>
        </w:rPr>
        <w:t>Exploratory Data Analysis &amp; Data Quality (SOP Stage 1B/2)</w:t>
      </w:r>
    </w:p>
    <w:p>
      <w:r>
        <w:t>0 of 13 real columns have at least one missing value (CODE_REJECT_REASON's missingness is structural, not a defect).</w:t>
      </w:r>
    </w:p>
    <w:p>
      <w:r>
        <w:t>Real cardinality: NAME_CLIENT_TYPE=3, CHANNEL_TYPE=4.</w:t>
      </w:r>
    </w:p>
    <w:p>
      <w:r>
        <w:drawing>
          <wp:inline xmlns:a="http://schemas.openxmlformats.org/drawingml/2006/main" xmlns:pic="http://schemas.openxmlformats.org/drawingml/2006/picture">
            <wp:extent cx="54864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5_eda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2A78D6"/>
        </w:rPr>
        <w:t xml:space="preserve">Insight — </w:t>
      </w:r>
      <w:r>
        <w:rPr>
          <w:i/>
          <w:color w:val="595959"/>
        </w:rPr>
        <w:t>0 of 13 real columns have at least one missing value; CODE_REJECT_REASON's missingness is structural (only populated for Refused rows), not a data-quality defect.</w:t>
      </w:r>
    </w:p>
    <w:p>
      <w:r>
        <w:rPr>
          <w:i/>
          <w:color w:val="595959"/>
        </w:rPr>
        <w:t>Split-half PSI on the real decision-outcome category-proportion distribution is 0.0001 (ASSUMPTION threshold: &lt;0.1), indicating a stable funnel.</w:t>
      </w:r>
    </w:p>
    <w:p>
      <w:r>
        <w:rPr>
          <w:i/>
          <w:color w:val="595959"/>
        </w:rPr>
        <w:t>Statistical robustness verdict: NOT YET STATISTICALLY ROBUST — failed: chi_square_significant (this is a separate, stricter statistical-significance gate, distinct from the structural pipeline integrity checks reported elsewhere in this notebook's output; failing here does not indicate a code defect, and passing all integrity checks does not imply this gate passed -- expected and informational on small or noisy real/synthetic samples, see this problem's MODEL_CARD.md).</w:t>
      </w:r>
    </w:p>
    <w:p>
      <w:pPr>
        <w:pStyle w:val="Heading1"/>
      </w:pPr>
      <w:r>
        <w:rPr>
          <w:color w:val="EB6834"/>
        </w:rPr>
        <w:t>Real Decision Outcome Funnel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Count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% of Total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Total AMT_APPLICATION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Total AMT_CREDIT</w:t>
            </w:r>
          </w:p>
        </w:tc>
      </w:tr>
      <w:tr>
        <w:tc>
          <w:tcPr>
            <w:tcW w:type="dxa" w:w="1728"/>
          </w:tcPr>
          <w:p>
            <w:r>
              <w:t>Approved</w:t>
            </w:r>
          </w:p>
        </w:tc>
        <w:tc>
          <w:tcPr>
            <w:tcW w:type="dxa" w:w="1728"/>
          </w:tcPr>
          <w:p>
            <w:r>
              <w:t>5230</w:t>
            </w:r>
          </w:p>
        </w:tc>
        <w:tc>
          <w:tcPr>
            <w:tcW w:type="dxa" w:w="1728"/>
          </w:tcPr>
          <w:p>
            <w:r>
              <w:t>74.71%</w:t>
            </w:r>
          </w:p>
        </w:tc>
        <w:tc>
          <w:tcPr>
            <w:tcW w:type="dxa" w:w="1728"/>
          </w:tcPr>
          <w:p>
            <w:r>
              <w:t>$677,097,528</w:t>
            </w:r>
          </w:p>
        </w:tc>
        <w:tc>
          <w:tcPr>
            <w:tcW w:type="dxa" w:w="1728"/>
          </w:tcPr>
          <w:p>
            <w:r>
              <w:t>$677,297,041</w:t>
            </w:r>
          </w:p>
        </w:tc>
      </w:tr>
      <w:tr>
        <w:tc>
          <w:tcPr>
            <w:tcW w:type="dxa" w:w="1728"/>
          </w:tcPr>
          <w:p>
            <w:r>
              <w:t>Canceled</w:t>
            </w:r>
          </w:p>
        </w:tc>
        <w:tc>
          <w:tcPr>
            <w:tcW w:type="dxa" w:w="1728"/>
          </w:tcPr>
          <w:p>
            <w:r>
              <w:t>888</w:t>
            </w:r>
          </w:p>
        </w:tc>
        <w:tc>
          <w:tcPr>
            <w:tcW w:type="dxa" w:w="1728"/>
          </w:tcPr>
          <w:p>
            <w:r>
              <w:t>12.69%</w:t>
            </w:r>
          </w:p>
        </w:tc>
        <w:tc>
          <w:tcPr>
            <w:tcW w:type="dxa" w:w="1728"/>
          </w:tcPr>
          <w:p>
            <w:r>
              <w:t>$141,091,430</w:t>
            </w:r>
          </w:p>
        </w:tc>
        <w:tc>
          <w:tcPr>
            <w:tcW w:type="dxa" w:w="1728"/>
          </w:tcPr>
          <w:p>
            <w:r>
              <w:t>$140,818,878</w:t>
            </w:r>
          </w:p>
        </w:tc>
      </w:tr>
      <w:tr>
        <w:tc>
          <w:tcPr>
            <w:tcW w:type="dxa" w:w="1728"/>
          </w:tcPr>
          <w:p>
            <w:r>
              <w:t>Refused</w:t>
            </w:r>
          </w:p>
        </w:tc>
        <w:tc>
          <w:tcPr>
            <w:tcW w:type="dxa" w:w="1728"/>
          </w:tcPr>
          <w:p>
            <w:r>
              <w:t>785</w:t>
            </w:r>
          </w:p>
        </w:tc>
        <w:tc>
          <w:tcPr>
            <w:tcW w:type="dxa" w:w="1728"/>
          </w:tcPr>
          <w:p>
            <w:r>
              <w:t>11.21%</w:t>
            </w:r>
          </w:p>
        </w:tc>
        <w:tc>
          <w:tcPr>
            <w:tcW w:type="dxa" w:w="1728"/>
          </w:tcPr>
          <w:p>
            <w:r>
              <w:t>$112,656,095</w:t>
            </w:r>
          </w:p>
        </w:tc>
        <w:tc>
          <w:tcPr>
            <w:tcW w:type="dxa" w:w="1728"/>
          </w:tcPr>
          <w:p>
            <w:r>
              <w:t>$113,239,257</w:t>
            </w:r>
          </w:p>
        </w:tc>
      </w:tr>
      <w:tr>
        <w:tc>
          <w:tcPr>
            <w:tcW w:type="dxa" w:w="1728"/>
          </w:tcPr>
          <w:p>
            <w:r>
              <w:t>Unused offer</w:t>
            </w:r>
          </w:p>
        </w:tc>
        <w:tc>
          <w:tcPr>
            <w:tcW w:type="dxa" w:w="1728"/>
          </w:tcPr>
          <w:p>
            <w:r>
              <w:t>97</w:t>
            </w:r>
          </w:p>
        </w:tc>
        <w:tc>
          <w:tcPr>
            <w:tcW w:type="dxa" w:w="1728"/>
          </w:tcPr>
          <w:p>
            <w:r>
              <w:t>1.39%</w:t>
            </w:r>
          </w:p>
        </w:tc>
        <w:tc>
          <w:tcPr>
            <w:tcW w:type="dxa" w:w="1728"/>
          </w:tcPr>
          <w:p>
            <w:r>
              <w:t>$12,781,001</w:t>
            </w:r>
          </w:p>
        </w:tc>
        <w:tc>
          <w:tcPr>
            <w:tcW w:type="dxa" w:w="1728"/>
          </w:tcPr>
          <w:p>
            <w:r>
              <w:t>$12,847,526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28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5_application_outcom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EB6834"/>
        </w:rPr>
        <w:t xml:space="preserve">Insight — </w:t>
      </w:r>
      <w:r>
        <w:rPr>
          <w:i/>
          <w:color w:val="595959"/>
        </w:rPr>
        <w:t>Of 7,000 real previous applications, the outcome funnel is: Approved=5,230 (74.7%); Canceled=888 (12.7%); Refused=785 (11.2%); Unused offer=97 (1.4%).</w:t>
      </w:r>
    </w:p>
    <w:p>
      <w:r>
        <w:rPr>
          <w:i/>
          <w:color w:val="595959"/>
        </w:rPr>
        <w:t>Real total requested volume: $943,626,054; real total credited volume: $944,202,703, of which $677,297,041 is on Approved applications.</w:t>
      </w:r>
    </w:p>
    <w:p>
      <w:r>
        <w:rPr>
          <w:i/>
          <w:color w:val="595959"/>
        </w:rPr>
        <w:t>Real offer-utilization rate (Approved / (Approved + Unused offer)): 98.18%.</w:t>
      </w:r>
    </w:p>
    <w:p>
      <w:pPr>
        <w:pStyle w:val="Heading1"/>
      </w:pPr>
      <w:r>
        <w:rPr>
          <w:color w:val="1BAF7A"/>
        </w:rPr>
        <w:t>Real Reject-Reason Breakdown &amp; Chi-Square Validation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af7a"/>
          </w:tcPr>
          <w:p>
            <w:r>
              <w:rPr>
                <w:b/>
                <w:color w:val="FFFFFF"/>
              </w:rPr>
              <w:t>Reject Reason</w:t>
            </w:r>
          </w:p>
        </w:tc>
        <w:tc>
          <w:tcPr>
            <w:tcW w:type="dxa" w:w="2880"/>
            <w:shd w:fill="1baf7a"/>
          </w:tcPr>
          <w:p>
            <w:r>
              <w:rPr>
                <w:b/>
                <w:color w:val="FFFFFF"/>
              </w:rPr>
              <w:t>Count</w:t>
            </w:r>
          </w:p>
        </w:tc>
        <w:tc>
          <w:tcPr>
            <w:tcW w:type="dxa" w:w="2880"/>
            <w:shd w:fill="1baf7a"/>
          </w:tcPr>
          <w:p>
            <w:r>
              <w:rPr>
                <w:b/>
                <w:color w:val="FFFFFF"/>
              </w:rPr>
              <w:t>% of Refused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171</w:t>
            </w:r>
          </w:p>
        </w:tc>
        <w:tc>
          <w:tcPr>
            <w:tcW w:type="dxa" w:w="2880"/>
          </w:tcPr>
          <w:p>
            <w:r>
              <w:t>21.78%</w:t>
            </w:r>
          </w:p>
        </w:tc>
      </w:tr>
      <w:tr>
        <w:tc>
          <w:tcPr>
            <w:tcW w:type="dxa" w:w="2880"/>
          </w:tcPr>
          <w:p>
            <w:r>
              <w:t>CLIENT</w:t>
            </w:r>
          </w:p>
        </w:tc>
        <w:tc>
          <w:tcPr>
            <w:tcW w:type="dxa" w:w="2880"/>
          </w:tcPr>
          <w:p>
            <w:r>
              <w:t>164</w:t>
            </w:r>
          </w:p>
        </w:tc>
        <w:tc>
          <w:tcPr>
            <w:tcW w:type="dxa" w:w="2880"/>
          </w:tcPr>
          <w:p>
            <w:r>
              <w:t>20.89%</w:t>
            </w:r>
          </w:p>
        </w:tc>
      </w:tr>
      <w:tr>
        <w:tc>
          <w:tcPr>
            <w:tcW w:type="dxa" w:w="2880"/>
          </w:tcPr>
          <w:p>
            <w:r>
              <w:t>SCO</w:t>
            </w:r>
          </w:p>
        </w:tc>
        <w:tc>
          <w:tcPr>
            <w:tcW w:type="dxa" w:w="2880"/>
          </w:tcPr>
          <w:p>
            <w:r>
              <w:t>160</w:t>
            </w:r>
          </w:p>
        </w:tc>
        <w:tc>
          <w:tcPr>
            <w:tcW w:type="dxa" w:w="2880"/>
          </w:tcPr>
          <w:p>
            <w:r>
              <w:t>20.38%</w:t>
            </w:r>
          </w:p>
        </w:tc>
      </w:tr>
      <w:tr>
        <w:tc>
          <w:tcPr>
            <w:tcW w:type="dxa" w:w="2880"/>
          </w:tcPr>
          <w:p>
            <w:r>
              <w:t>VERIF</w:t>
            </w:r>
          </w:p>
        </w:tc>
        <w:tc>
          <w:tcPr>
            <w:tcW w:type="dxa" w:w="2880"/>
          </w:tcPr>
          <w:p>
            <w:r>
              <w:t>145</w:t>
            </w:r>
          </w:p>
        </w:tc>
        <w:tc>
          <w:tcPr>
            <w:tcW w:type="dxa" w:w="2880"/>
          </w:tcPr>
          <w:p>
            <w:r>
              <w:t>18.47%</w:t>
            </w:r>
          </w:p>
        </w:tc>
      </w:tr>
      <w:tr>
        <w:tc>
          <w:tcPr>
            <w:tcW w:type="dxa" w:w="2880"/>
          </w:tcPr>
          <w:p>
            <w:r>
              <w:t>HC</w:t>
            </w:r>
          </w:p>
        </w:tc>
        <w:tc>
          <w:tcPr>
            <w:tcW w:type="dxa" w:w="2880"/>
          </w:tcPr>
          <w:p>
            <w:r>
              <w:t>145</w:t>
            </w:r>
          </w:p>
        </w:tc>
        <w:tc>
          <w:tcPr>
            <w:tcW w:type="dxa" w:w="2880"/>
          </w:tcPr>
          <w:p>
            <w:r>
              <w:t>18.47%</w:t>
            </w:r>
          </w:p>
        </w:tc>
      </w:tr>
    </w:tbl>
    <w:p>
      <w:r>
        <w:rPr>
          <w:b/>
          <w:color w:val="1BAF7A"/>
        </w:rPr>
        <w:t xml:space="preserve">Insight — </w:t>
      </w:r>
      <w:r>
        <w:rPr>
          <w:i/>
          <w:color w:val="595959"/>
        </w:rPr>
        <w:t>'LIMIT' is the single most common real reject reason, 171 of 785 Refused applications (21.8%).</w:t>
      </w:r>
    </w:p>
    <w:p>
      <w:r>
        <w:rPr>
          <w:i/>
          <w:color w:val="595959"/>
        </w:rPr>
        <w:t>Real chi-square test (client type vs. outcome): chi2=4.52, p=0.606, Cramer's V=0.0180 (95% bootstrap CI [0.0149, 0.0396]) — a directionally consistent but not yet fully robust association.</w:t>
      </w:r>
    </w:p>
    <w:p>
      <w:r>
        <w:rPr>
          <w:i/>
          <w:color w:val="595959"/>
        </w:rPr>
        <w:t>Switch the view above to see the same reject reasons by % of all applications instead of % of refused only.</w:t>
      </w:r>
    </w:p>
    <w:p>
      <w:pPr>
        <w:pStyle w:val="Heading1"/>
      </w:pPr>
      <w:r>
        <w:rPr>
          <w:color w:val="EDA100"/>
        </w:rPr>
        <w:t>Cross-Validation Against Notebook 01's Real, Current PD Model (XGBoost)</w:t>
      </w:r>
    </w:p>
    <w:p>
      <w:r>
        <w:t>7,000 of 7,000 real previous-application rows matched to a real customer PD by SK_ID_CURR.</w:t>
      </w:r>
    </w:p>
    <w:p>
      <w:r>
        <w:t>Real association between PD_RISK_BAND and historical NAME_CONTRACT_STATUS: Cramer's V=0.0234 (chi2=11.47, p=0.4891).</w:t>
      </w:r>
    </w:p>
    <w:p>
      <w:r>
        <w:t>Temporal-snapshot caveat: this PD reflects each customer's CURRENT risk profile, not their risk reconstructed at the actual historical moment of each past decision -- a real retrospective consistency check, not a causal claim.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da100"/>
          </w:tcPr>
          <w:p>
            <w:r>
              <w:rPr>
                <w:b/>
                <w:color w:val="1A1A1A"/>
              </w:rPr>
              <w:t>PD Risk Band</w:t>
            </w:r>
          </w:p>
        </w:tc>
        <w:tc>
          <w:tcPr>
            <w:tcW w:type="dxa" w:w="1728"/>
            <w:shd w:fill="eda100"/>
          </w:tcPr>
          <w:p>
            <w:r>
              <w:rPr>
                <w:b/>
                <w:color w:val="1A1A1A"/>
              </w:rPr>
              <w:t>Previous Applications</w:t>
            </w:r>
          </w:p>
        </w:tc>
        <w:tc>
          <w:tcPr>
            <w:tcW w:type="dxa" w:w="1728"/>
            <w:shd w:fill="eda100"/>
          </w:tcPr>
          <w:p>
            <w:r>
              <w:rPr>
                <w:b/>
                <w:color w:val="1A1A1A"/>
              </w:rPr>
              <w:t>Mean Current PD</w:t>
            </w:r>
          </w:p>
        </w:tc>
        <w:tc>
          <w:tcPr>
            <w:tcW w:type="dxa" w:w="1728"/>
            <w:shd w:fill="eda100"/>
          </w:tcPr>
          <w:p>
            <w:r>
              <w:rPr>
                <w:b/>
                <w:color w:val="1A1A1A"/>
              </w:rPr>
              <w:t>Real Historical Approval Rate</w:t>
            </w:r>
          </w:p>
        </w:tc>
        <w:tc>
          <w:tcPr>
            <w:tcW w:type="dxa" w:w="1728"/>
            <w:shd w:fill="eda100"/>
          </w:tcPr>
          <w:p>
            <w:r>
              <w:rPr>
                <w:b/>
                <w:color w:val="1A1A1A"/>
              </w:rPr>
              <w:t>Real Historical Refusal Rate</w:t>
            </w:r>
          </w:p>
        </w:tc>
      </w:tr>
      <w:tr>
        <w:tc>
          <w:tcPr>
            <w:tcW w:type="dxa" w:w="1728"/>
          </w:tcPr>
          <w:p>
            <w:r>
              <w:t>Lowest Risk</w:t>
            </w:r>
          </w:p>
        </w:tc>
        <w:tc>
          <w:tcPr>
            <w:tcW w:type="dxa" w:w="1728"/>
          </w:tcPr>
          <w:p>
            <w:r>
              <w:t>1600</w:t>
            </w:r>
          </w:p>
        </w:tc>
        <w:tc>
          <w:tcPr>
            <w:tcW w:type="dxa" w:w="1728"/>
          </w:tcPr>
          <w:p>
            <w:r>
              <w:t>0.0310</w:t>
            </w:r>
          </w:p>
        </w:tc>
        <w:tc>
          <w:tcPr>
            <w:tcW w:type="dxa" w:w="1728"/>
          </w:tcPr>
          <w:p>
            <w:r>
              <w:t>0.7419</w:t>
            </w:r>
          </w:p>
        </w:tc>
        <w:tc>
          <w:tcPr>
            <w:tcW w:type="dxa" w:w="1728"/>
          </w:tcPr>
          <w:p>
            <w:r>
              <w:t>0.1113</w:t>
            </w:r>
          </w:p>
        </w:tc>
      </w:tr>
      <w:tr>
        <w:tc>
          <w:tcPr>
            <w:tcW w:type="dxa" w:w="1728"/>
          </w:tcPr>
          <w:p>
            <w:r>
              <w:t>Low Risk</w:t>
            </w:r>
          </w:p>
        </w:tc>
        <w:tc>
          <w:tcPr>
            <w:tcW w:type="dxa" w:w="1728"/>
          </w:tcPr>
          <w:p>
            <w:r>
              <w:t>1490</w:t>
            </w:r>
          </w:p>
        </w:tc>
        <w:tc>
          <w:tcPr>
            <w:tcW w:type="dxa" w:w="1728"/>
          </w:tcPr>
          <w:p>
            <w:r>
              <w:t>0.0593</w:t>
            </w:r>
          </w:p>
        </w:tc>
        <w:tc>
          <w:tcPr>
            <w:tcW w:type="dxa" w:w="1728"/>
          </w:tcPr>
          <w:p>
            <w:r>
              <w:t>0.7463</w:t>
            </w:r>
          </w:p>
        </w:tc>
        <w:tc>
          <w:tcPr>
            <w:tcW w:type="dxa" w:w="1728"/>
          </w:tcPr>
          <w:p>
            <w:r>
              <w:t>0.1054</w:t>
            </w:r>
          </w:p>
        </w:tc>
      </w:tr>
      <w:tr>
        <w:tc>
          <w:tcPr>
            <w:tcW w:type="dxa" w:w="1728"/>
          </w:tcPr>
          <w:p>
            <w:r>
              <w:t>Moderate Risk</w:t>
            </w:r>
          </w:p>
        </w:tc>
        <w:tc>
          <w:tcPr>
            <w:tcW w:type="dxa" w:w="1728"/>
          </w:tcPr>
          <w:p>
            <w:r>
              <w:t>1330</w:t>
            </w:r>
          </w:p>
        </w:tc>
        <w:tc>
          <w:tcPr>
            <w:tcW w:type="dxa" w:w="1728"/>
          </w:tcPr>
          <w:p>
            <w:r>
              <w:t>0.0901</w:t>
            </w:r>
          </w:p>
        </w:tc>
        <w:tc>
          <w:tcPr>
            <w:tcW w:type="dxa" w:w="1728"/>
          </w:tcPr>
          <w:p>
            <w:r>
              <w:t>0.7391</w:t>
            </w:r>
          </w:p>
        </w:tc>
        <w:tc>
          <w:tcPr>
            <w:tcW w:type="dxa" w:w="1728"/>
          </w:tcPr>
          <w:p>
            <w:r>
              <w:t>0.1241</w:t>
            </w:r>
          </w:p>
        </w:tc>
      </w:tr>
      <w:tr>
        <w:tc>
          <w:tcPr>
            <w:tcW w:type="dxa" w:w="1728"/>
          </w:tcPr>
          <w:p>
            <w:r>
              <w:t>High Risk</w:t>
            </w:r>
          </w:p>
        </w:tc>
        <w:tc>
          <w:tcPr>
            <w:tcW w:type="dxa" w:w="1728"/>
          </w:tcPr>
          <w:p>
            <w:r>
              <w:t>1226</w:t>
            </w:r>
          </w:p>
        </w:tc>
        <w:tc>
          <w:tcPr>
            <w:tcW w:type="dxa" w:w="1728"/>
          </w:tcPr>
          <w:p>
            <w:r>
              <w:t>0.1444</w:t>
            </w:r>
          </w:p>
        </w:tc>
        <w:tc>
          <w:tcPr>
            <w:tcW w:type="dxa" w:w="1728"/>
          </w:tcPr>
          <w:p>
            <w:r>
              <w:t>0.7553</w:t>
            </w:r>
          </w:p>
        </w:tc>
        <w:tc>
          <w:tcPr>
            <w:tcW w:type="dxa" w:w="1728"/>
          </w:tcPr>
          <w:p>
            <w:r>
              <w:t>0.1044</w:t>
            </w:r>
          </w:p>
        </w:tc>
      </w:tr>
      <w:tr>
        <w:tc>
          <w:tcPr>
            <w:tcW w:type="dxa" w:w="1728"/>
          </w:tcPr>
          <w:p>
            <w:r>
              <w:t>Highest Risk</w:t>
            </w:r>
          </w:p>
        </w:tc>
        <w:tc>
          <w:tcPr>
            <w:tcW w:type="dxa" w:w="1728"/>
          </w:tcPr>
          <w:p>
            <w:r>
              <w:t>1354</w:t>
            </w:r>
          </w:p>
        </w:tc>
        <w:tc>
          <w:tcPr>
            <w:tcW w:type="dxa" w:w="1728"/>
          </w:tcPr>
          <w:p>
            <w:r>
              <w:t>0.5340</w:t>
            </w:r>
          </w:p>
        </w:tc>
        <w:tc>
          <w:tcPr>
            <w:tcW w:type="dxa" w:w="1728"/>
          </w:tcPr>
          <w:p>
            <w:r>
              <w:t>0.7548</w:t>
            </w:r>
          </w:p>
        </w:tc>
        <w:tc>
          <w:tcPr>
            <w:tcW w:type="dxa" w:w="1728"/>
          </w:tcPr>
          <w:p>
            <w:r>
              <w:t>0.1160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28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5_pd_cross_valid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EDA100"/>
        </w:rPr>
        <w:t xml:space="preserve">Insight — </w:t>
      </w:r>
      <w:r>
        <w:rPr>
          <w:i/>
          <w:color w:val="595959"/>
        </w:rPr>
        <w:t>Cross-validated this notebook's real historical decision outcomes against Notebook 01's independently-trained real, CURRENT default-risk model (XGBoost) -- 7,000 of 7,000 real previous-application rows (100.00%) matched to a real customer PD by SK_ID_CURR.</w:t>
      </w:r>
    </w:p>
    <w:p>
      <w:r>
        <w:rPr>
          <w:i/>
          <w:color w:val="595959"/>
        </w:rPr>
        <w:t>TEMPORAL-SNAPSHOT CAVEAT: this PD reflects each real customer's CURRENT risk profile, not a reconstruction of their risk at the actual historical moment of each past decision -- so this is a real retrospective consistency check, not a claim that today's PD caused, or was available for, any past decision.</w:t>
      </w:r>
    </w:p>
    <w:p>
      <w:r>
        <w:rPr>
          <w:i/>
          <w:color w:val="595959"/>
        </w:rPr>
        <w:t>Real association between PD_RISK_BAND and historical NAME_CONTRACT_STATUS: Cramer's V=0.0234 (chi2=11.47, p=0.4891) — only a weak retrospective relationship, informational.</w:t>
      </w:r>
    </w:p>
    <w:p>
      <w:pPr>
        <w:pStyle w:val="Heading1"/>
      </w:pPr>
      <w:r>
        <w:rPr>
          <w:color w:val="E87BA4"/>
        </w:rPr>
        <w:t>Statistical Validation &amp; Robustness (SOP Stage 4)</w:t>
      </w:r>
    </w:p>
    <w:p>
      <w:r>
        <w:t>Bootstrap 95% CI on Cramer's V (500 resamples): [0.0149, 0.0396].</w:t>
      </w:r>
    </w:p>
    <w:p>
      <w:r>
        <w:t>Split-half PSI on the real decision-outcome category-proportion distribution: 0.0001 (threshold: &lt;0.1).</w:t>
      </w:r>
    </w:p>
    <w:p>
      <w:r>
        <w:t>Real offer-utilization rate: 98.18%.</w:t>
      </w:r>
    </w:p>
    <w:p>
      <w:pPr>
        <w:pStyle w:val="Heading1"/>
      </w:pPr>
      <w:r>
        <w:rPr>
          <w:color w:val="008300"/>
        </w:rPr>
        <w:t>Integrity Checks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8300"/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4320"/>
            <w:shd w:fill="008300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real_data_loaded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funnel_percentages_sum_to_one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reject_reasons_within_refused_only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offer_utilization_rate_in_bounds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chi2_pvalue_in_bounds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contingency_row_count_matches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cohort_rates_in_bounds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bootstrap_ci_computed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psi_finite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cpu_thread_ceiling_applied_before_import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pd_from_nb01_in_bounds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pd_risk_band_count_correct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pd_cross_chi2_pvalue_in_bounds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