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Notebook 01: Expected Loss &amp; Capital Requirement</w:t>
      </w:r>
    </w:p>
    <w:p>
      <w:pPr>
        <w:jc w:val="center"/>
      </w:pPr>
      <w:r>
        <w:rPr>
          <w:i/>
          <w:color w:val="595959"/>
          <w:sz w:val="22"/>
        </w:rPr>
        <w:t>Real PD (Mega Project 1 champion model) x Documented Basel Retail-IRB LGD/EAD/Correlation Assumptions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4,000 real applicants scored for real probability of default via Mega Project 1's trained champion model (XGBoost).</w:t>
      </w:r>
    </w:p>
    <w:p>
      <w:pPr>
        <w:pStyle w:val="ListBullet"/>
      </w:pPr>
      <w:r>
        <w:t>Real total EAD proxy (AMT_CREDIT): $1,726,180,495.</w:t>
      </w:r>
    </w:p>
    <w:p>
      <w:pPr>
        <w:pStyle w:val="ListBullet"/>
      </w:pPr>
      <w:r>
        <w:t>Real-PD x documented-LGD Expected Loss: $97,633,699 (5.66% of EAD).</w:t>
      </w:r>
    </w:p>
    <w:p>
      <w:pPr>
        <w:pStyle w:val="ListBullet"/>
      </w:pPr>
      <w:r>
        <w:t>Basel retail-IRB capital requirement: $109,035,535 (6.32% of EAD).</w:t>
      </w:r>
    </w:p>
    <w:p>
      <w:pPr>
        <w:pStyle w:val="ListBullet"/>
      </w:pPr>
      <w:r>
        <w:t>Statistical robustness verdict: NOT YET STATISTICALLY ROBUST — failed: default_rate_monotonic_by_pd_band (this is a separate, stricter statistical-significance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Real-PD-based capital estimate does not yet meet the statistical-robustness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Chi-square p=0, Cramer's V 0.8799 (95% bootstrap CI [0.8622, 0.8999]); 4/5 validation checks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Total real EAD proxy $1,726,180,495; Expected Loss $97,633,699 (5.66%); Basel retail-IRB capital requirement $109,035,535 (6.32%).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Investigate the failing check(s) above; re-run this notebook after any fix to confirm.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informs Mega Project 2's downstream RWA analytics, economic-capital, stress-testing, and concentration notebooks, which all reuse this notebook's real per-applicant PD/EL/capital output rather than recomputing it.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(MP1) retrain, or any LGD/correlation assumption update.</w:t>
      </w:r>
    </w:p>
    <w:p/>
    <w:p>
      <w:pPr>
        <w:pStyle w:val="Heading1"/>
      </w:pPr>
      <w:r>
        <w:rPr>
          <w:color w:val="2A78D6"/>
        </w:rPr>
        <w:t>Expected Loss by PD Risk Band</w:t>
      </w:r>
    </w:p>
    <w:p>
      <w:r>
        <w:t>Real Expected Loss rate and real default rate, both computed per PD risk band (5-band convention shared across this suite).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PD Risk Band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EL Rate of EAD</w:t>
            </w:r>
          </w:p>
        </w:tc>
        <w:tc>
          <w:tcPr>
            <w:tcW w:type="dxa" w:w="1728"/>
            <w:shd w:fill="2a78d6"/>
          </w:tcPr>
          <w:p>
            <w:r>
              <w:rPr>
                <w:b/>
                <w:color w:val="FFFFFF"/>
              </w:rPr>
              <w:t>Capital Rate of EAD</w:t>
            </w:r>
          </w:p>
        </w:tc>
      </w:tr>
      <w:tr>
        <w:tc>
          <w:tcPr>
            <w:tcW w:type="dxa" w:w="1728"/>
          </w:tcPr>
          <w:p>
            <w:r>
              <w:t>Lowest Risk</w:t>
            </w:r>
          </w:p>
        </w:tc>
        <w:tc>
          <w:tcPr>
            <w:tcW w:type="dxa" w:w="1728"/>
          </w:tcPr>
          <w:p>
            <w:r>
              <w:t>904</w:t>
            </w:r>
          </w:p>
        </w:tc>
        <w:tc>
          <w:tcPr>
            <w:tcW w:type="dxa" w:w="1728"/>
          </w:tcPr>
          <w:p>
            <w:r>
              <w:t>1.11%</w:t>
            </w:r>
          </w:p>
        </w:tc>
        <w:tc>
          <w:tcPr>
            <w:tcW w:type="dxa" w:w="1728"/>
          </w:tcPr>
          <w:p>
            <w:r>
              <w:t>1.15%</w:t>
            </w:r>
          </w:p>
        </w:tc>
        <w:tc>
          <w:tcPr>
            <w:tcW w:type="dxa" w:w="1728"/>
          </w:tcPr>
          <w:p>
            <w:r>
              <w:t>4.36%</w:t>
            </w:r>
          </w:p>
        </w:tc>
      </w:tr>
      <w:tr>
        <w:tc>
          <w:tcPr>
            <w:tcW w:type="dxa" w:w="1728"/>
          </w:tcPr>
          <w:p>
            <w:r>
              <w:t>Low Risk</w:t>
            </w:r>
          </w:p>
        </w:tc>
        <w:tc>
          <w:tcPr>
            <w:tcW w:type="dxa" w:w="1728"/>
          </w:tcPr>
          <w:p>
            <w:r>
              <w:t>1,296</w:t>
            </w:r>
          </w:p>
        </w:tc>
        <w:tc>
          <w:tcPr>
            <w:tcW w:type="dxa" w:w="1728"/>
          </w:tcPr>
          <w:p>
            <w:r>
              <w:t>1.77%</w:t>
            </w:r>
          </w:p>
        </w:tc>
        <w:tc>
          <w:tcPr>
            <w:tcW w:type="dxa" w:w="1728"/>
          </w:tcPr>
          <w:p>
            <w:r>
              <w:t>2.45%</w:t>
            </w:r>
          </w:p>
        </w:tc>
        <w:tc>
          <w:tcPr>
            <w:tcW w:type="dxa" w:w="1728"/>
          </w:tcPr>
          <w:p>
            <w:r>
              <w:t>5.81%</w:t>
            </w:r>
          </w:p>
        </w:tc>
      </w:tr>
      <w:tr>
        <w:tc>
          <w:tcPr>
            <w:tcW w:type="dxa" w:w="1728"/>
          </w:tcPr>
          <w:p>
            <w:r>
              <w:t>Moderate Risk</w:t>
            </w:r>
          </w:p>
        </w:tc>
        <w:tc>
          <w:tcPr>
            <w:tcW w:type="dxa" w:w="1728"/>
          </w:tcPr>
          <w:p>
            <w:r>
              <w:t>1,012</w:t>
            </w:r>
          </w:p>
        </w:tc>
        <w:tc>
          <w:tcPr>
            <w:tcW w:type="dxa" w:w="1728"/>
          </w:tcPr>
          <w:p>
            <w:r>
              <w:t>4.05%</w:t>
            </w:r>
          </w:p>
        </w:tc>
        <w:tc>
          <w:tcPr>
            <w:tcW w:type="dxa" w:w="1728"/>
          </w:tcPr>
          <w:p>
            <w:r>
              <w:t>4.61%</w:t>
            </w:r>
          </w:p>
        </w:tc>
        <w:tc>
          <w:tcPr>
            <w:tcW w:type="dxa" w:w="1728"/>
          </w:tcPr>
          <w:p>
            <w:r>
              <w:t>7.48%</w:t>
            </w:r>
          </w:p>
        </w:tc>
      </w:tr>
      <w:tr>
        <w:tc>
          <w:tcPr>
            <w:tcW w:type="dxa" w:w="1728"/>
          </w:tcPr>
          <w:p>
            <w:r>
              <w:t>High Risk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22.44%</w:t>
            </w:r>
          </w:p>
        </w:tc>
        <w:tc>
          <w:tcPr>
            <w:tcW w:type="dxa" w:w="1728"/>
          </w:tcPr>
          <w:p>
            <w:r>
              <w:t>8.34%</w:t>
            </w:r>
          </w:p>
        </w:tc>
        <w:tc>
          <w:tcPr>
            <w:tcW w:type="dxa" w:w="1728"/>
          </w:tcPr>
          <w:p>
            <w:r>
              <w:t>9.20%</w:t>
            </w:r>
          </w:p>
        </w:tc>
      </w:tr>
      <w:tr>
        <w:tc>
          <w:tcPr>
            <w:tcW w:type="dxa" w:w="1728"/>
          </w:tcPr>
          <w:p>
            <w:r>
              <w:t>Highest Risk</w:t>
            </w:r>
          </w:p>
        </w:tc>
        <w:tc>
          <w:tcPr>
            <w:tcW w:type="dxa" w:w="1728"/>
          </w:tcPr>
          <w:p>
            <w:r>
              <w:t>583</w:t>
            </w:r>
          </w:p>
        </w:tc>
        <w:tc>
          <w:tcPr>
            <w:tcW w:type="dxa" w:w="1728"/>
          </w:tcPr>
          <w:p>
            <w:r>
              <w:t>96.40%</w:t>
            </w:r>
          </w:p>
        </w:tc>
        <w:tc>
          <w:tcPr>
            <w:tcW w:type="dxa" w:w="1728"/>
          </w:tcPr>
          <w:p>
            <w:r>
              <w:t>20.52%</w:t>
            </w:r>
          </w:p>
        </w:tc>
        <w:tc>
          <w:tcPr>
            <w:tcW w:type="dxa" w:w="1728"/>
          </w:tcPr>
          <w:p>
            <w:r>
              <w:t>7.53%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el_by_b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Expected Loss rate rises from 1.15% of EAD in 'Lowest Risk' to 20.52% in 'Highest Risk' — tracking the real PD input the assumption layer is applied to.</w:t>
      </w:r>
    </w:p>
    <w:p>
      <w:r>
        <w:rPr>
          <w:i/>
          <w:color w:val="595959"/>
        </w:rPr>
        <w:t>Real default rate is highest in 'Highest Risk' at 96.40% across 583 real applicants.</w:t>
      </w:r>
    </w:p>
    <w:p>
      <w:r>
        <w:rPr>
          <w:i/>
          <w:color w:val="595959"/>
        </w:rPr>
        <w:t>Statistical robustness verdict: NOT YET STATISTICALLY ROBUST — failed: default_rate_monotonic_by_pd_band (this is a separate, stricter statistical-significance gate, distinct from the structural pipeline integrity checks reported elsewhere in this notebook's output; failing here does not indicate a code defect, and passing all integrity checks does not imply this gate passed -- expected and informational on small or noisy real/synthetic samples, see this problem's MODEL_CARD.md).</w:t>
      </w:r>
    </w:p>
    <w:p>
      <w:pPr>
        <w:pStyle w:val="Heading1"/>
      </w:pPr>
      <w:r>
        <w:rPr>
          <w:color w:val="EB6834"/>
        </w:rPr>
        <w:t>Capital Requirement by Documented LGD Segment</w:t>
      </w:r>
    </w:p>
    <w:p>
      <w:r>
        <w:t>Every segment's LGD and Basel asset-correlation value is a cited, published reference point (see the Assumptions sheet in the accompanying Excel workbook) -- never fitted to Home Credit's own real outcomes.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LGD Assumed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Capital Requirement</w:t>
            </w:r>
          </w:p>
        </w:tc>
      </w:tr>
      <w:tr>
        <w:tc>
          <w:tcPr>
            <w:tcW w:type="dxa" w:w="1728"/>
          </w:tcPr>
          <w:p>
            <w:r>
              <w:t>Secured — Real Estate</w:t>
            </w:r>
          </w:p>
        </w:tc>
        <w:tc>
          <w:tcPr>
            <w:tcW w:type="dxa" w:w="1728"/>
          </w:tcPr>
          <w:p>
            <w:r>
              <w:t>1,755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16.87%</w:t>
            </w:r>
          </w:p>
        </w:tc>
        <w:tc>
          <w:tcPr>
            <w:tcW w:type="dxa" w:w="1728"/>
          </w:tcPr>
          <w:p>
            <w:r>
              <w:t>$48,524,210</w:t>
            </w:r>
          </w:p>
        </w:tc>
      </w:tr>
      <w:tr>
        <w:tc>
          <w:tcPr>
            <w:tcW w:type="dxa" w:w="1728"/>
          </w:tcPr>
          <w:p>
            <w:r>
              <w:t>Secured — Other (Vehicle/Goods)</w:t>
            </w:r>
          </w:p>
        </w:tc>
        <w:tc>
          <w:tcPr>
            <w:tcW w:type="dxa" w:w="1728"/>
          </w:tcPr>
          <w:p>
            <w:r>
              <w:t>938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18.23%</w:t>
            </w:r>
          </w:p>
        </w:tc>
        <w:tc>
          <w:tcPr>
            <w:tcW w:type="dxa" w:w="1728"/>
          </w:tcPr>
          <w:p>
            <w:r>
              <w:t>$20,100,849</w:t>
            </w:r>
          </w:p>
        </w:tc>
      </w:tr>
      <w:tr>
        <w:tc>
          <w:tcPr>
            <w:tcW w:type="dxa" w:w="1728"/>
          </w:tcPr>
          <w:p>
            <w:r>
              <w:t>Unsecured — Other Retail</w:t>
            </w:r>
          </w:p>
        </w:tc>
        <w:tc>
          <w:tcPr>
            <w:tcW w:type="dxa" w:w="1728"/>
          </w:tcPr>
          <w:p>
            <w:r>
              <w:t>926</w:t>
            </w:r>
          </w:p>
        </w:tc>
        <w:tc>
          <w:tcPr>
            <w:tcW w:type="dxa" w:w="1728"/>
          </w:tcPr>
          <w:p>
            <w:r>
              <w:t>45%</w:t>
            </w:r>
          </w:p>
        </w:tc>
        <w:tc>
          <w:tcPr>
            <w:tcW w:type="dxa" w:w="1728"/>
          </w:tcPr>
          <w:p>
            <w:r>
              <w:t>15.98%</w:t>
            </w:r>
          </w:p>
        </w:tc>
        <w:tc>
          <w:tcPr>
            <w:tcW w:type="dxa" w:w="1728"/>
          </w:tcPr>
          <w:p>
            <w:r>
              <w:t>$24,914,874</w:t>
            </w:r>
          </w:p>
        </w:tc>
      </w:tr>
      <w:tr>
        <w:tc>
          <w:tcPr>
            <w:tcW w:type="dxa" w:w="1728"/>
          </w:tcPr>
          <w:p>
            <w:r>
              <w:t>Revolving (QRRE)</w:t>
            </w:r>
          </w:p>
        </w:tc>
        <w:tc>
          <w:tcPr>
            <w:tcW w:type="dxa" w:w="1728"/>
          </w:tcPr>
          <w:p>
            <w:r>
              <w:t>381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17.59%</w:t>
            </w:r>
          </w:p>
        </w:tc>
        <w:tc>
          <w:tcPr>
            <w:tcW w:type="dxa" w:w="1728"/>
          </w:tcPr>
          <w:p>
            <w:r>
              <w:t>$15,495,603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capital_by_seg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'Secured — Real Estate' carries the largest real total capital requirement ($48,524,210, LGD assumption 20%) across 1,755 real applicants.</w:t>
      </w:r>
    </w:p>
    <w:p>
      <w:r>
        <w:rPr>
          <w:i/>
          <w:color w:val="595959"/>
        </w:rPr>
        <w:t>Chi-square (PD-band vs. real default): chi2=3096.78, p=0, Cramer's V=0.8799 (95% bootstrap CI [0.8622, 0.8999]).</w:t>
      </w:r>
    </w:p>
    <w:p>
      <w:r>
        <w:rPr>
          <w:i/>
          <w:color w:val="595959"/>
        </w:rPr>
        <w:t>Every LGD/correlation value driving this chart is a cited Basel retail-IRB reference point -- see the Assumptions sheet in the Excel workbook for full sourcing.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