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02: Basel RWA Portfolio Analytics</w:t>
      </w:r>
    </w:p>
    <w:p>
      <w:pPr>
        <w:jc w:val="center"/>
      </w:pPr>
      <w:r>
        <w:rPr>
          <w:i/>
          <w:color w:val="595959"/>
          <w:sz w:val="22"/>
        </w:rPr>
        <w:t>Real per-applicant RWA (Notebook 01), analyzed across real portfolio segment cuts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4,000 real applicants (Notebook 01's output, reused not recomputed).</w:t>
      </w:r>
    </w:p>
    <w:p>
      <w:pPr>
        <w:pStyle w:val="ListBullet"/>
      </w:pPr>
      <w:r>
        <w:t>Real portfolio RWA density: 78.96%.</w:t>
      </w:r>
    </w:p>
    <w:p>
      <w:pPr>
        <w:pStyle w:val="ListBullet"/>
      </w:pPr>
      <w:r>
        <w:t>Highest real RWA density segment: NAME_CONTRACT_TYPE=Revolving loans (113.65%).</w:t>
      </w:r>
    </w:p>
    <w:p>
      <w:pPr>
        <w:pStyle w:val="ListBullet"/>
      </w:pPr>
      <w:r>
        <w:t>Statistical robustness verdict: NOT YET STATISTICALLY ROBUST — failed: default_rate_monotonic_by_pd_band (a separate, stricter statistical-significance gate, distinct from the structural pipeline integrity checks reported elsewhere in this notebook's output -- expected and informational on small or noisy real/synthetic samples)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Portfolio RWA density does not yet meet the statistical-robustness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Chi-square p=0, Cramer's V 0.8799 (95% bootstrap CI [0.8622, 0.8999]); 2/3 validation checks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Portfolio RWA density 78.96%; highest-density segment NAME_CONTRACT_TYPE=Revolving loans (113.65%).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Investigate the failing check(s) above; re-run after any Notebook 01 update.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Identifies which real portfolio segments concentrate capital demand -- informs Problem 5 (Capital Concentration by Segment).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(MP2) re-run or LGD/correlation assumption update.</w:t>
      </w:r>
    </w:p>
    <w:p/>
    <w:p>
      <w:pPr>
        <w:pStyle w:val="Heading1"/>
      </w:pPr>
      <w:r>
        <w:rPr>
          <w:color w:val="2A78D6"/>
        </w:rPr>
        <w:t>RWA Density by PD Risk Band</w:t>
      </w:r>
    </w:p>
    <w:p>
      <w:r>
        <w:t>Real RWA density and real default rate per PD risk band.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PD Risk Band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RWA Density</w:t>
            </w:r>
          </w:p>
        </w:tc>
      </w:tr>
      <w:tr>
        <w:tc>
          <w:tcPr>
            <w:tcW w:type="dxa" w:w="2160"/>
          </w:tcPr>
          <w:p>
            <w:r>
              <w:t>Lowest Risk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1.11%</w:t>
            </w:r>
          </w:p>
        </w:tc>
        <w:tc>
          <w:tcPr>
            <w:tcW w:type="dxa" w:w="2160"/>
          </w:tcPr>
          <w:p>
            <w:r>
              <w:t>54.44%</w:t>
            </w:r>
          </w:p>
        </w:tc>
      </w:tr>
      <w:tr>
        <w:tc>
          <w:tcPr>
            <w:tcW w:type="dxa" w:w="2160"/>
          </w:tcPr>
          <w:p>
            <w:r>
              <w:t>Low Risk</w:t>
            </w:r>
          </w:p>
        </w:tc>
        <w:tc>
          <w:tcPr>
            <w:tcW w:type="dxa" w:w="2160"/>
          </w:tcPr>
          <w:p>
            <w:r>
              <w:t>1,296</w:t>
            </w:r>
          </w:p>
        </w:tc>
        <w:tc>
          <w:tcPr>
            <w:tcW w:type="dxa" w:w="2160"/>
          </w:tcPr>
          <w:p>
            <w:r>
              <w:t>1.77%</w:t>
            </w:r>
          </w:p>
        </w:tc>
        <w:tc>
          <w:tcPr>
            <w:tcW w:type="dxa" w:w="2160"/>
          </w:tcPr>
          <w:p>
            <w:r>
              <w:t>72.59%</w:t>
            </w:r>
          </w:p>
        </w:tc>
      </w:tr>
      <w:tr>
        <w:tc>
          <w:tcPr>
            <w:tcW w:type="dxa" w:w="2160"/>
          </w:tcPr>
          <w:p>
            <w:r>
              <w:t>Moderate Risk</w:t>
            </w:r>
          </w:p>
        </w:tc>
        <w:tc>
          <w:tcPr>
            <w:tcW w:type="dxa" w:w="2160"/>
          </w:tcPr>
          <w:p>
            <w:r>
              <w:t>1,012</w:t>
            </w:r>
          </w:p>
        </w:tc>
        <w:tc>
          <w:tcPr>
            <w:tcW w:type="dxa" w:w="2160"/>
          </w:tcPr>
          <w:p>
            <w:r>
              <w:t>4.05%</w:t>
            </w:r>
          </w:p>
        </w:tc>
        <w:tc>
          <w:tcPr>
            <w:tcW w:type="dxa" w:w="2160"/>
          </w:tcPr>
          <w:p>
            <w:r>
              <w:t>93.49%</w:t>
            </w:r>
          </w:p>
        </w:tc>
      </w:tr>
      <w:tr>
        <w:tc>
          <w:tcPr>
            <w:tcW w:type="dxa" w:w="2160"/>
          </w:tcPr>
          <w:p>
            <w:r>
              <w:t>High Risk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22.44%</w:t>
            </w:r>
          </w:p>
        </w:tc>
        <w:tc>
          <w:tcPr>
            <w:tcW w:type="dxa" w:w="2160"/>
          </w:tcPr>
          <w:p>
            <w:r>
              <w:t>114.96%</w:t>
            </w:r>
          </w:p>
        </w:tc>
      </w:tr>
      <w:tr>
        <w:tc>
          <w:tcPr>
            <w:tcW w:type="dxa" w:w="2160"/>
          </w:tcPr>
          <w:p>
            <w:r>
              <w:t>Highest Risk</w:t>
            </w:r>
          </w:p>
        </w:tc>
        <w:tc>
          <w:tcPr>
            <w:tcW w:type="dxa" w:w="2160"/>
          </w:tcPr>
          <w:p>
            <w:r>
              <w:t>583</w:t>
            </w:r>
          </w:p>
        </w:tc>
        <w:tc>
          <w:tcPr>
            <w:tcW w:type="dxa" w:w="2160"/>
          </w:tcPr>
          <w:p>
            <w:r>
              <w:t>96.40%</w:t>
            </w:r>
          </w:p>
        </w:tc>
        <w:tc>
          <w:tcPr>
            <w:tcW w:type="dxa" w:w="2160"/>
          </w:tcPr>
          <w:p>
            <w:r>
              <w:t>94.11%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rwa_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RWA density rises from 54.44% in 'Lowest Risk' to 94.11% in 'Highest Risk' -- higher-PD bands carry a higher capital charge by construction of the Basel K() formula (Notebook 01).</w:t>
      </w:r>
    </w:p>
    <w:p>
      <w:r>
        <w:rPr>
          <w:i/>
          <w:color w:val="595959"/>
        </w:rPr>
        <w:t>Portfolio-wide real RWA density: 78.96% ($1,362,944,191 RWA / $1,726,180,495 EAD).</w:t>
      </w:r>
    </w:p>
    <w:p>
      <w:r>
        <w:rPr>
          <w:i/>
          <w:color w:val="595959"/>
        </w:rPr>
        <w:t>Statistical robustness verdict: NOT YET STATISTICALLY ROBUST — failed: default_rate_monotonic_by_pd_band (a separate, stricter statistical-significance gate, distinct from the structural pipeline integrity checks reported elsewhere in this notebook's output -- expected and informational on small or noisy real/synthetic samples).</w:t>
      </w:r>
    </w:p>
    <w:p>
      <w:pPr>
        <w:pStyle w:val="Heading1"/>
      </w:pPr>
      <w:r>
        <w:rPr>
          <w:color w:val="EB6834"/>
        </w:rPr>
        <w:t>Top Segments by Total RWA</w:t>
      </w:r>
    </w:p>
    <w:p>
      <w:r>
        <w:t>Real total RWA, RWA density, and default rate across every segment cut (income type, education, contract type, region rating).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RWA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RWA Density</w:t>
            </w:r>
          </w:p>
        </w:tc>
      </w:tr>
      <w:tr>
        <w:tc>
          <w:tcPr>
            <w:tcW w:type="dxa" w:w="1728"/>
          </w:tcPr>
          <w:p>
            <w:r>
              <w:t>NAME_CONTRACT_TYPE</w:t>
            </w:r>
          </w:p>
        </w:tc>
        <w:tc>
          <w:tcPr>
            <w:tcW w:type="dxa" w:w="1728"/>
          </w:tcPr>
          <w:p>
            <w:r>
              <w:t>Cash loans</w:t>
            </w:r>
          </w:p>
        </w:tc>
        <w:tc>
          <w:tcPr>
            <w:tcW w:type="dxa" w:w="1728"/>
          </w:tcPr>
          <w:p>
            <w:r>
              <w:t>3,619</w:t>
            </w:r>
          </w:p>
        </w:tc>
        <w:tc>
          <w:tcPr>
            <w:tcW w:type="dxa" w:w="1728"/>
          </w:tcPr>
          <w:p>
            <w:r>
              <w:t>$1,169,249,160</w:t>
            </w:r>
          </w:p>
        </w:tc>
        <w:tc>
          <w:tcPr>
            <w:tcW w:type="dxa" w:w="1728"/>
          </w:tcPr>
          <w:p>
            <w:r>
              <w:t>75.16%</w:t>
            </w:r>
          </w:p>
        </w:tc>
      </w:tr>
      <w:tr>
        <w:tc>
          <w:tcPr>
            <w:tcW w:type="dxa" w:w="1728"/>
          </w:tcPr>
          <w:p>
            <w:r>
              <w:t>REGION_RATING_CLIENT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1,373</w:t>
            </w:r>
          </w:p>
        </w:tc>
        <w:tc>
          <w:tcPr>
            <w:tcW w:type="dxa" w:w="1728"/>
          </w:tcPr>
          <w:p>
            <w:r>
              <w:t>$471,221,030</w:t>
            </w:r>
          </w:p>
        </w:tc>
        <w:tc>
          <w:tcPr>
            <w:tcW w:type="dxa" w:w="1728"/>
          </w:tcPr>
          <w:p>
            <w:r>
              <w:t>78.88%</w:t>
            </w:r>
          </w:p>
        </w:tc>
      </w:tr>
      <w:tr>
        <w:tc>
          <w:tcPr>
            <w:tcW w:type="dxa" w:w="1728"/>
          </w:tcPr>
          <w:p>
            <w:r>
              <w:t>REGION_RATING_CLIENT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1,319</w:t>
            </w:r>
          </w:p>
        </w:tc>
        <w:tc>
          <w:tcPr>
            <w:tcW w:type="dxa" w:w="1728"/>
          </w:tcPr>
          <w:p>
            <w:r>
              <w:t>$449,799,181</w:t>
            </w:r>
          </w:p>
        </w:tc>
        <w:tc>
          <w:tcPr>
            <w:tcW w:type="dxa" w:w="1728"/>
          </w:tcPr>
          <w:p>
            <w:r>
              <w:t>79.29%</w:t>
            </w:r>
          </w:p>
        </w:tc>
      </w:tr>
      <w:tr>
        <w:tc>
          <w:tcPr>
            <w:tcW w:type="dxa" w:w="1728"/>
          </w:tcPr>
          <w:p>
            <w:r>
              <w:t>REGION_RATING_CLIENT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1,308</w:t>
            </w:r>
          </w:p>
        </w:tc>
        <w:tc>
          <w:tcPr>
            <w:tcW w:type="dxa" w:w="1728"/>
          </w:tcPr>
          <w:p>
            <w:r>
              <w:t>$441,923,980</w:t>
            </w:r>
          </w:p>
        </w:tc>
        <w:tc>
          <w:tcPr>
            <w:tcW w:type="dxa" w:w="1728"/>
          </w:tcPr>
          <w:p>
            <w:r>
              <w:t>78.70%</w:t>
            </w:r>
          </w:p>
        </w:tc>
      </w:tr>
      <w:tr>
        <w:tc>
          <w:tcPr>
            <w:tcW w:type="dxa" w:w="1728"/>
          </w:tcPr>
          <w:p>
            <w:r>
              <w:t>NAME_EDUCATION_TYPE</w:t>
            </w:r>
          </w:p>
        </w:tc>
        <w:tc>
          <w:tcPr>
            <w:tcW w:type="dxa" w:w="1728"/>
          </w:tcPr>
          <w:p>
            <w:r>
              <w:t>Incomplete higher</w:t>
            </w:r>
          </w:p>
        </w:tc>
        <w:tc>
          <w:tcPr>
            <w:tcW w:type="dxa" w:w="1728"/>
          </w:tcPr>
          <w:p>
            <w:r>
              <w:t>1,035</w:t>
            </w:r>
          </w:p>
        </w:tc>
        <w:tc>
          <w:tcPr>
            <w:tcW w:type="dxa" w:w="1728"/>
          </w:tcPr>
          <w:p>
            <w:r>
              <w:t>$365,435,613</w:t>
            </w:r>
          </w:p>
        </w:tc>
        <w:tc>
          <w:tcPr>
            <w:tcW w:type="dxa" w:w="1728"/>
          </w:tcPr>
          <w:p>
            <w:r>
              <w:t>80.21%</w:t>
            </w:r>
          </w:p>
        </w:tc>
      </w:tr>
      <w:tr>
        <w:tc>
          <w:tcPr>
            <w:tcW w:type="dxa" w:w="1728"/>
          </w:tcPr>
          <w:p>
            <w:r>
              <w:t>NAME_EDUCATION_TYPE</w:t>
            </w:r>
          </w:p>
        </w:tc>
        <w:tc>
          <w:tcPr>
            <w:tcW w:type="dxa" w:w="1728"/>
          </w:tcPr>
          <w:p>
            <w:r>
              <w:t>Lower secondary</w:t>
            </w:r>
          </w:p>
        </w:tc>
        <w:tc>
          <w:tcPr>
            <w:tcW w:type="dxa" w:w="1728"/>
          </w:tcPr>
          <w:p>
            <w:r>
              <w:t>987</w:t>
            </w:r>
          </w:p>
        </w:tc>
        <w:tc>
          <w:tcPr>
            <w:tcW w:type="dxa" w:w="1728"/>
          </w:tcPr>
          <w:p>
            <w:r>
              <w:t>$343,928,545</w:t>
            </w:r>
          </w:p>
        </w:tc>
        <w:tc>
          <w:tcPr>
            <w:tcW w:type="dxa" w:w="1728"/>
          </w:tcPr>
          <w:p>
            <w:r>
              <w:t>78.54%</w:t>
            </w:r>
          </w:p>
        </w:tc>
      </w:tr>
      <w:tr>
        <w:tc>
          <w:tcPr>
            <w:tcW w:type="dxa" w:w="1728"/>
          </w:tcPr>
          <w:p>
            <w:r>
              <w:t>NAME_EDUCATION_TYPE</w:t>
            </w:r>
          </w:p>
        </w:tc>
        <w:tc>
          <w:tcPr>
            <w:tcW w:type="dxa" w:w="1728"/>
          </w:tcPr>
          <w:p>
            <w:r>
              <w:t>Secondary / secondary special</w:t>
            </w:r>
          </w:p>
        </w:tc>
        <w:tc>
          <w:tcPr>
            <w:tcW w:type="dxa" w:w="1728"/>
          </w:tcPr>
          <w:p>
            <w:r>
              <w:t>1,001</w:t>
            </w:r>
          </w:p>
        </w:tc>
        <w:tc>
          <w:tcPr>
            <w:tcW w:type="dxa" w:w="1728"/>
          </w:tcPr>
          <w:p>
            <w:r>
              <w:t>$330,354,969</w:t>
            </w:r>
          </w:p>
        </w:tc>
        <w:tc>
          <w:tcPr>
            <w:tcW w:type="dxa" w:w="1728"/>
          </w:tcPr>
          <w:p>
            <w:r>
              <w:t>77.87%</w:t>
            </w:r>
          </w:p>
        </w:tc>
      </w:tr>
      <w:tr>
        <w:tc>
          <w:tcPr>
            <w:tcW w:type="dxa" w:w="1728"/>
          </w:tcPr>
          <w:p>
            <w:r>
              <w:t>NAME_EDUCATION_TYPE</w:t>
            </w:r>
          </w:p>
        </w:tc>
        <w:tc>
          <w:tcPr>
            <w:tcW w:type="dxa" w:w="1728"/>
          </w:tcPr>
          <w:p>
            <w:r>
              <w:t>Higher education</w:t>
            </w:r>
          </w:p>
        </w:tc>
        <w:tc>
          <w:tcPr>
            <w:tcW w:type="dxa" w:w="1728"/>
          </w:tcPr>
          <w:p>
            <w:r>
              <w:t>977</w:t>
            </w:r>
          </w:p>
        </w:tc>
        <w:tc>
          <w:tcPr>
            <w:tcW w:type="dxa" w:w="1728"/>
          </w:tcPr>
          <w:p>
            <w:r>
              <w:t>$323,225,065</w:t>
            </w:r>
          </w:p>
        </w:tc>
        <w:tc>
          <w:tcPr>
            <w:tcW w:type="dxa" w:w="1728"/>
          </w:tcPr>
          <w:p>
            <w:r>
              <w:t>79.13%</w:t>
            </w:r>
          </w:p>
        </w:tc>
      </w:tr>
      <w:tr>
        <w:tc>
          <w:tcPr>
            <w:tcW w:type="dxa" w:w="1728"/>
          </w:tcPr>
          <w:p>
            <w:r>
              <w:t>NAME_INCOME_TYPE</w:t>
            </w:r>
          </w:p>
        </w:tc>
        <w:tc>
          <w:tcPr>
            <w:tcW w:type="dxa" w:w="1728"/>
          </w:tcPr>
          <w:p>
            <w:r>
              <w:t>Commercial associate</w:t>
            </w:r>
          </w:p>
        </w:tc>
        <w:tc>
          <w:tcPr>
            <w:tcW w:type="dxa" w:w="1728"/>
          </w:tcPr>
          <w:p>
            <w:r>
              <w:t>821</w:t>
            </w:r>
          </w:p>
        </w:tc>
        <w:tc>
          <w:tcPr>
            <w:tcW w:type="dxa" w:w="1728"/>
          </w:tcPr>
          <w:p>
            <w:r>
              <w:t>$287,031,273</w:t>
            </w:r>
          </w:p>
        </w:tc>
        <w:tc>
          <w:tcPr>
            <w:tcW w:type="dxa" w:w="1728"/>
          </w:tcPr>
          <w:p>
            <w:r>
              <w:t>79.32%</w:t>
            </w:r>
          </w:p>
        </w:tc>
      </w:tr>
      <w:tr>
        <w:tc>
          <w:tcPr>
            <w:tcW w:type="dxa" w:w="1728"/>
          </w:tcPr>
          <w:p>
            <w:r>
              <w:t>NAME_INCOME_TYPE</w:t>
            </w:r>
          </w:p>
        </w:tc>
        <w:tc>
          <w:tcPr>
            <w:tcW w:type="dxa" w:w="1728"/>
          </w:tcPr>
          <w:p>
            <w:r>
              <w:t>State servant</w:t>
            </w:r>
          </w:p>
        </w:tc>
        <w:tc>
          <w:tcPr>
            <w:tcW w:type="dxa" w:w="1728"/>
          </w:tcPr>
          <w:p>
            <w:r>
              <w:t>788</w:t>
            </w:r>
          </w:p>
        </w:tc>
        <w:tc>
          <w:tcPr>
            <w:tcW w:type="dxa" w:w="1728"/>
          </w:tcPr>
          <w:p>
            <w:r>
              <w:t>$275,868,017</w:t>
            </w:r>
          </w:p>
        </w:tc>
        <w:tc>
          <w:tcPr>
            <w:tcW w:type="dxa" w:w="1728"/>
          </w:tcPr>
          <w:p>
            <w:r>
              <w:t>77.31%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'Cash loans' (NAME_CONTRACT_TYPE) carries the largest real total RWA ($1,169,249,160) across 3,619 real applicants.</w:t>
      </w:r>
    </w:p>
    <w:p>
      <w:r>
        <w:rPr>
          <w:i/>
          <w:color w:val="595959"/>
        </w:rPr>
        <w:t>'Revolving loans' (NAME_CONTRACT_TYPE) shows the highest real RWA density (113.65%) -- a capital-efficiency signal, not necessarily the largest dollar exposure.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