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HOME CREDIT DEFAULT RISK</w:t>
      </w:r>
    </w:p>
    <w:p>
      <w:pPr>
        <w:spacing w:after="40"/>
      </w:pPr>
      <w:r>
        <w:rPr>
          <w:b/>
          <w:bCs/>
          <w:color w:val="B8860B"/>
          <w:sz w:val="26"/>
          <w:szCs w:val="26"/>
        </w:rPr>
        <w:t xml:space="preserve">5 MEGA PROJECTS ENTERPRISE SUITE</w:t>
      </w:r>
    </w:p>
    <w:p>
      <w:pPr>
        <w:spacing w:after="40"/>
      </w:pPr>
      <w:r>
        <w:rPr>
          <w:b/>
          <w:bCs/>
          <w:color w:val="1F3864"/>
          <w:sz w:val="22"/>
          <w:szCs w:val="22"/>
        </w:rPr>
        <w:t xml:space="preserve">MASTER EXECUTION PLAN</w:t>
      </w:r>
    </w:p>
    <w:p>
      <w:pPr>
        <w:spacing w:after="260"/>
      </w:pPr>
      <w:r>
        <w:rPr>
          <w:i/>
          <w:iCs/>
          <w:color w:val="555555"/>
          <w:sz w:val="19"/>
          <w:szCs w:val="19"/>
        </w:rPr>
        <w:t xml:space="preserve">Version 2.0 — August 31, 2026 — Restructured to 5 Mega Projects / 18 Problems at the user's direction; supersedes Version 1.0 and all prior Home Credit planning documents on any conflicting point</w:t>
      </w:r>
    </w:p>
    <w:p>
      <w:pPr>
        <w:pStyle w:val="Heading1"/>
        <w:pBdr>
          <w:bottom w:val="single" w:color="1F3864" w:sz="12" w:space="4"/>
        </w:pBdr>
        <w:spacing w:after="180" w:before="420"/>
      </w:pPr>
      <w:r>
        <w:rPr>
          <w:b/>
          <w:bCs/>
          <w:color w:val="1F3864"/>
          <w:sz w:val="28"/>
          <w:szCs w:val="28"/>
        </w:rPr>
        <w:t xml:space="preserve">1. Executive Summary &amp; Mandate</w:t>
      </w:r>
    </w:p>
    <w:p>
      <w:pPr>
        <w:spacing w:after="110"/>
      </w:pPr>
      <w:r>
        <w:rPr>
          <w:sz w:val="20"/>
          <w:szCs w:val="20"/>
        </w:rPr>
        <w:t xml:space="preserve">This is the single authoritative execution plan for the Home Credit Default Risk 5 Mega Project / 18-Problem enterprise suite. It is the successor to, and a direct refinement of, the AMEX Enterprise Credit Risk Platform build — built by the same standing rules (zero-fabrication, WARP, HYPER) plus seven specific fixes for gaps that AMEX surfaced in practice (Section 3–4).</w:t>
      </w:r>
    </w:p>
    <w:p>
      <w:pPr>
        <w:pBdr>
          <w:left w:val="single" w:color="8A6D00" w:sz="16" w:space="8"/>
        </w:pBdr>
        <w:shd w:fill="FFF3CD" w:val="clear"/>
        <w:spacing w:after="140"/>
      </w:pPr>
      <w:r>
        <w:rPr>
          <w:color w:val="3A2F00"/>
          <w:sz w:val="19"/>
          <w:szCs w:val="19"/>
        </w:rPr>
        <w:t xml:space="preserve">Scope decision (this version): the original 6th Mega Project — Regulatory Capital &amp; Revenue Expansion (Problems 18, 20, 21, 22, 23) — has been removed from this suite's committed scope, at the user's direction, so that every committed problem stays 100% real-data-native. Four of that Mega Project's five problems (20, 21, 22, 23) needed formula-plus-assumption modeling — macro stress scenarios, Basel RWA, a cross-sell proxy, and economic capital — rather than being answerable directly and completely from the real Kaggle dataset alone; the fifth (Problem 18) was itself fully real-data-native but is out of scope alongside the rest of its Mega Project. This suite's committed scope is now exactly 5 Mega Projects and 18 problems (Problems 1–17 and 19), detailed in Section 11.</w:t>
      </w:r>
    </w:p>
    <w:p>
      <w:pPr>
        <w:spacing w:after="110"/>
      </w:pPr>
      <w:r>
        <w:rPr>
          <w:b/>
          <w:bCs/>
          <w:sz w:val="20"/>
          <w:szCs w:val="20"/>
        </w:rPr>
        <w:t xml:space="preserve">Non-negotiable guarantee: every insight, model, decision, output, and result in this suite's committed scope traces 100% to the real Kaggle Home Credit Default Risk dataset, verified column-by-column and row-by-row before any notebook was written (Section 2). No committed problem requires an invented business-outcome assumption. The only non-data-derived inputs anywhere in this suite are small, industry-standard scaling or benchmark constants applied to real, data-derived outputs (e.g. the PDO credit-score scaling constants in Notebook 03, the CFPB debt-to-income benchmark in Notebook 04) — each labeled, sourced, and never presented as a computed result.</w:t>
      </w:r>
    </w:p>
    <w:p>
      <w:pPr>
        <w:spacing w:after="110"/>
      </w:pPr>
      <w:r>
        <w:rPr>
          <w:sz w:val="20"/>
          <w:szCs w:val="20"/>
        </w:rPr>
        <w:t xml:space="preserve">“Superior to AMEX” is not a claim made by degree — it is made by naming, in Section 3, exactly what fell short on AMEX, and showing, in Section 4, the specific mechanism that closes each gap in this suite. No rework is expected because governance (Section 5, Stage 6) is a first-class notebook stage from Notebook 01 onward, not a retrofit.</w:t>
      </w:r>
    </w:p>
    <w:p>
      <w:pPr>
        <w:pStyle w:val="Heading1"/>
        <w:pBdr>
          <w:bottom w:val="single" w:color="1F3864" w:sz="12" w:space="4"/>
        </w:pBdr>
        <w:spacing w:after="180" w:before="420"/>
      </w:pPr>
      <w:r>
        <w:rPr>
          <w:b/>
          <w:bCs/>
          <w:color w:val="1F3864"/>
          <w:sz w:val="28"/>
          <w:szCs w:val="28"/>
        </w:rPr>
        <w:t xml:space="preserve">2. Data Source of Truth</w:t>
      </w:r>
    </w:p>
    <w:p>
      <w:pPr>
        <w:spacing w:after="110"/>
      </w:pPr>
      <w:r>
        <w:rPr>
          <w:sz w:val="20"/>
          <w:szCs w:val="20"/>
        </w:rPr>
        <w:t xml:space="preserve">Verified directly against your connected raw-data folder before this plan or any notebook was written (not carried over from memory):</w:t>
      </w:r>
    </w:p>
    <w:p>
      <w:pPr>
        <w:pStyle w:val="ListParagraph"/>
        <w:numPr>
          <w:ilvl w:val="0"/>
          <w:numId w:val="2"/>
        </w:numPr>
        <w:spacing w:after="60"/>
      </w:pPr>
      <w:r>
        <w:rPr>
          <w:sz w:val="19"/>
          <w:szCs w:val="19"/>
        </w:rPr>
        <w:t xml:space="preserve">application_train.csv: 307,511 rows × 122 columns — real TARGET split 282,686 / 24,825 (8.07% default rate)</w:t>
      </w:r>
    </w:p>
    <w:p>
      <w:pPr>
        <w:pStyle w:val="ListParagraph"/>
        <w:numPr>
          <w:ilvl w:val="0"/>
          <w:numId w:val="2"/>
        </w:numPr>
        <w:spacing w:after="60"/>
      </w:pPr>
      <w:r>
        <w:rPr>
          <w:sz w:val="19"/>
          <w:szCs w:val="19"/>
        </w:rPr>
        <w:t xml:space="preserve">application_test.csv: 48,744 rows · bureau.csv: 1,716,428 rows · bureau_balance.csv: 27,299,925 rows</w:t>
      </w:r>
    </w:p>
    <w:p>
      <w:pPr>
        <w:pStyle w:val="ListParagraph"/>
        <w:numPr>
          <w:ilvl w:val="0"/>
          <w:numId w:val="2"/>
        </w:numPr>
        <w:spacing w:after="60"/>
      </w:pPr>
      <w:r>
        <w:rPr>
          <w:sz w:val="19"/>
          <w:szCs w:val="19"/>
        </w:rPr>
        <w:t xml:space="preserve">previous_application.csv: 1,670,214 rows (1,036,781 Approved / 316,319 Canceled / 290,678 Refused / 26,436 Unused, real distribution)</w:t>
      </w:r>
    </w:p>
    <w:p>
      <w:pPr>
        <w:pStyle w:val="ListParagraph"/>
        <w:numPr>
          <w:ilvl w:val="0"/>
          <w:numId w:val="2"/>
        </w:numPr>
        <w:spacing w:after="60"/>
      </w:pPr>
      <w:r>
        <w:rPr>
          <w:sz w:val="19"/>
          <w:szCs w:val="19"/>
        </w:rPr>
        <w:t xml:space="preserve">POS_CASH_balance.csv: 10,001,358 rows · credit_card_balance.csv: 3,840,312 rows · installments_payments.csv: 13,605,401 rows</w:t>
      </w:r>
    </w:p>
    <w:p>
      <w:pPr>
        <w:spacing w:after="110"/>
      </w:pPr>
      <w:r>
        <w:rPr>
          <w:sz w:val="20"/>
          <w:szCs w:val="20"/>
        </w:rPr>
        <w:t xml:space="preserve">All 10 files are the genuine, complete, standard Kaggle competition dataset. Full problem-by-problem feasibility mapping against these files is the standing Data Feasibility Audit (delivered separately, referenced in Section 11).</w:t>
      </w:r>
    </w:p>
    <w:p>
      <w:r>
        <w:br w:type="page"/>
      </w:r>
    </w:p>
    <w:p>
      <w:pPr>
        <w:pStyle w:val="Heading1"/>
        <w:pBdr>
          <w:bottom w:val="single" w:color="1F3864" w:sz="12" w:space="4"/>
        </w:pBdr>
        <w:spacing w:after="180" w:before="420"/>
      </w:pPr>
      <w:r>
        <w:rPr>
          <w:b/>
          <w:bCs/>
          <w:color w:val="1F3864"/>
          <w:sz w:val="28"/>
          <w:szCs w:val="28"/>
        </w:rPr>
        <w:t xml:space="preserve">3. Lessons Learned From AMEX — Gap Register</w:t>
      </w:r>
    </w:p>
    <w:p>
      <w:pPr>
        <w:spacing w:after="110"/>
      </w:pPr>
      <w:r>
        <w:rPr>
          <w:sz w:val="20"/>
          <w:szCs w:val="20"/>
        </w:rPr>
        <w:t xml:space="preserve">Seven specific, real gaps surfaced across the AMEX Enterprise Credit Risk Platform build. Each is named here plainly — no gap is glossed over — because Section 4 exists to close every one of them.</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3060"/>
      </w:tblGrid>
      <w:tr>
        <w:tc>
          <w:tcPr>
            <w:tcW w:type="dxa" w:w="500"/>
            <w:shd w:fill="1F3864" w:val="clear"/>
            <w:tcMar>
              <w:top w:type="dxa" w:w="60"/>
              <w:left w:type="dxa" w:w="80"/>
              <w:bottom w:type="dxa" w:w="60"/>
              <w:right w:type="dxa" w:w="80"/>
            </w:tcMar>
          </w:tcPr>
          <w:p>
            <w:r>
              <w:rPr>
                <w:b/>
                <w:bCs/>
                <w:color w:val="FFFFFF"/>
                <w:sz w:val="16"/>
                <w:szCs w:val="16"/>
              </w:rPr>
              <w:t xml:space="preserve">#</w:t>
            </w:r>
          </w:p>
        </w:tc>
        <w:tc>
          <w:tcPr>
            <w:tcW w:type="dxa" w:w="5600"/>
            <w:shd w:fill="1F3864" w:val="clear"/>
            <w:tcMar>
              <w:top w:type="dxa" w:w="60"/>
              <w:left w:type="dxa" w:w="80"/>
              <w:bottom w:type="dxa" w:w="60"/>
              <w:right w:type="dxa" w:w="80"/>
            </w:tcMar>
          </w:tcPr>
          <w:p>
            <w:r>
              <w:rPr>
                <w:b/>
                <w:bCs/>
                <w:color w:val="FFFFFF"/>
                <w:sz w:val="16"/>
                <w:szCs w:val="16"/>
              </w:rPr>
              <w:t xml:space="preserve">What happened on AMEX</w:t>
            </w:r>
          </w:p>
        </w:tc>
        <w:tc>
          <w:tcPr>
            <w:tcW w:type="dxa" w:w="3060"/>
            <w:shd w:fill="1F3864" w:val="clear"/>
            <w:tcMar>
              <w:top w:type="dxa" w:w="60"/>
              <w:left w:type="dxa" w:w="80"/>
              <w:bottom w:type="dxa" w:w="60"/>
              <w:right w:type="dxa" w:w="80"/>
            </w:tcMar>
          </w:tcPr>
          <w:p>
            <w:r>
              <w:rPr>
                <w:b/>
                <w:bCs/>
                <w:color w:val="FFFFFF"/>
                <w:sz w:val="16"/>
                <w:szCs w:val="16"/>
              </w:rPr>
              <w:t xml:space="preserve">Risk it created</w:t>
            </w:r>
          </w:p>
        </w:tc>
      </w:tr>
      <w:tr>
        <w:tc>
          <w:tcPr>
            <w:tcW w:type="dxa" w:w="500"/>
            <w:tcMar>
              <w:top w:type="dxa" w:w="60"/>
              <w:left w:type="dxa" w:w="80"/>
              <w:bottom w:type="dxa" w:w="60"/>
              <w:right w:type="dxa" w:w="80"/>
            </w:tcMar>
          </w:tcPr>
          <w:p>
            <w:r>
              <w:rPr>
                <w:color w:val="222222"/>
                <w:sz w:val="16"/>
                <w:szCs w:val="16"/>
              </w:rPr>
              <w:t xml:space="preserve">1</w:t>
            </w:r>
          </w:p>
        </w:tc>
        <w:tc>
          <w:tcPr>
            <w:tcW w:type="dxa" w:w="5600"/>
            <w:tcMar>
              <w:top w:type="dxa" w:w="60"/>
              <w:left w:type="dxa" w:w="80"/>
              <w:bottom w:type="dxa" w:w="60"/>
              <w:right w:type="dxa" w:w="80"/>
            </w:tcMar>
          </w:tcPr>
          <w:p>
            <w:r>
              <w:rPr>
                <w:color w:val="222222"/>
                <w:sz w:val="16"/>
                <w:szCs w:val="16"/>
              </w:rPr>
              <w:t xml:space="preserve">Fixture testing caught most bugs pre-delivery, but real-data-scale bugs still surfaced only after the user ran notebooks (Problem 4: 4 real-run bugs across Notebooks 27/28; Notebook 36: a categorical-encoding bug in the live API self-test)</w:t>
            </w:r>
          </w:p>
        </w:tc>
        <w:tc>
          <w:tcPr>
            <w:tcW w:type="dxa" w:w="3060"/>
            <w:tcMar>
              <w:top w:type="dxa" w:w="60"/>
              <w:left w:type="dxa" w:w="80"/>
              <w:bottom w:type="dxa" w:w="60"/>
              <w:right w:type="dxa" w:w="80"/>
            </w:tcMar>
          </w:tcPr>
          <w:p>
            <w:r>
              <w:rPr>
                <w:color w:val="222222"/>
                <w:sz w:val="16"/>
                <w:szCs w:val="16"/>
              </w:rPr>
              <w:t xml:space="preserve">A problem could look “done” after fixture testing while still failing on the real 300K+/1.7M+ row scale</w:t>
            </w:r>
          </w:p>
        </w:tc>
      </w:tr>
      <w:tr>
        <w:tc>
          <w:tcPr>
            <w:tcW w:type="dxa" w:w="500"/>
            <w:tcMar>
              <w:top w:type="dxa" w:w="60"/>
              <w:left w:type="dxa" w:w="80"/>
              <w:bottom w:type="dxa" w:w="60"/>
              <w:right w:type="dxa" w:w="80"/>
            </w:tcMar>
          </w:tcPr>
          <w:p>
            <w:r>
              <w:rPr>
                <w:color w:val="222222"/>
                <w:sz w:val="16"/>
                <w:szCs w:val="16"/>
              </w:rPr>
              <w:t xml:space="preserve">2</w:t>
            </w:r>
          </w:p>
        </w:tc>
        <w:tc>
          <w:tcPr>
            <w:tcW w:type="dxa" w:w="5600"/>
            <w:tcMar>
              <w:top w:type="dxa" w:w="60"/>
              <w:left w:type="dxa" w:w="80"/>
              <w:bottom w:type="dxa" w:w="60"/>
              <w:right w:type="dxa" w:w="80"/>
            </w:tcMar>
          </w:tcPr>
          <w:p>
            <w:r>
              <w:rPr>
                <w:color w:val="222222"/>
                <w:sz w:val="16"/>
                <w:szCs w:val="16"/>
              </w:rPr>
              <w:t xml:space="preserve">Portfolio status was tracked partly via a self-invented “score out of 100” rubric (the 62/100 premise) that traced to no external benchmark</w:t>
            </w:r>
          </w:p>
        </w:tc>
        <w:tc>
          <w:tcPr>
            <w:tcW w:type="dxa" w:w="3060"/>
            <w:tcMar>
              <w:top w:type="dxa" w:w="60"/>
              <w:left w:type="dxa" w:w="80"/>
              <w:bottom w:type="dxa" w:w="60"/>
              <w:right w:type="dxa" w:w="80"/>
            </w:tcMar>
          </w:tcPr>
          <w:p>
            <w:r>
              <w:rPr>
                <w:color w:val="222222"/>
                <w:sz w:val="16"/>
                <w:szCs w:val="16"/>
              </w:rPr>
              <w:t xml:space="preserve">Status claims not backed by a verifiable metric could be mistaken for real progress</w:t>
            </w:r>
          </w:p>
        </w:tc>
      </w:tr>
      <w:tr>
        <w:tc>
          <w:tcPr>
            <w:tcW w:type="dxa" w:w="500"/>
            <w:tcMar>
              <w:top w:type="dxa" w:w="60"/>
              <w:left w:type="dxa" w:w="80"/>
              <w:bottom w:type="dxa" w:w="60"/>
              <w:right w:type="dxa" w:w="80"/>
            </w:tcMar>
          </w:tcPr>
          <w:p>
            <w:r>
              <w:rPr>
                <w:color w:val="222222"/>
                <w:sz w:val="16"/>
                <w:szCs w:val="16"/>
              </w:rPr>
              <w:t xml:space="preserve">3</w:t>
            </w:r>
          </w:p>
        </w:tc>
        <w:tc>
          <w:tcPr>
            <w:tcW w:type="dxa" w:w="5600"/>
            <w:tcMar>
              <w:top w:type="dxa" w:w="60"/>
              <w:left w:type="dxa" w:w="80"/>
              <w:bottom w:type="dxa" w:w="60"/>
              <w:right w:type="dxa" w:w="80"/>
            </w:tcMar>
          </w:tcPr>
          <w:p>
            <w:r>
              <w:rPr>
                <w:color w:val="222222"/>
                <w:sz w:val="16"/>
                <w:szCs w:val="16"/>
              </w:rPr>
              <w:t xml:space="preserve">GitHub push hit two real infrastructure failures: git cannot run inside a device-mounted (fuseblk) folder, and the cloud container's proxied network blocks repo creation/push outside an authorized set — discovered live, mid-project, and worked around ad hoc</w:t>
            </w:r>
          </w:p>
        </w:tc>
        <w:tc>
          <w:tcPr>
            <w:tcW w:type="dxa" w:w="3060"/>
            <w:tcMar>
              <w:top w:type="dxa" w:w="60"/>
              <w:left w:type="dxa" w:w="80"/>
              <w:bottom w:type="dxa" w:w="60"/>
              <w:right w:type="dxa" w:w="80"/>
            </w:tcMar>
          </w:tcPr>
          <w:p>
            <w:r>
              <w:rPr>
                <w:color w:val="222222"/>
                <w:sz w:val="16"/>
                <w:szCs w:val="16"/>
              </w:rPr>
              <w:t xml:space="preserve">Without a documented fix, every future push repeats the same multi-hour debugging cycle</w:t>
            </w:r>
          </w:p>
        </w:tc>
      </w:tr>
      <w:tr>
        <w:tc>
          <w:tcPr>
            <w:tcW w:type="dxa" w:w="500"/>
            <w:tcMar>
              <w:top w:type="dxa" w:w="60"/>
              <w:left w:type="dxa" w:w="80"/>
              <w:bottom w:type="dxa" w:w="60"/>
              <w:right w:type="dxa" w:w="80"/>
            </w:tcMar>
          </w:tcPr>
          <w:p>
            <w:r>
              <w:rPr>
                <w:color w:val="222222"/>
                <w:sz w:val="16"/>
                <w:szCs w:val="16"/>
              </w:rPr>
              <w:t xml:space="preserve">4</w:t>
            </w:r>
          </w:p>
        </w:tc>
        <w:tc>
          <w:tcPr>
            <w:tcW w:type="dxa" w:w="5600"/>
            <w:tcMar>
              <w:top w:type="dxa" w:w="60"/>
              <w:left w:type="dxa" w:w="80"/>
              <w:bottom w:type="dxa" w:w="60"/>
              <w:right w:type="dxa" w:w="80"/>
            </w:tcMar>
          </w:tcPr>
          <w:p>
            <w:r>
              <w:rPr>
                <w:color w:val="222222"/>
                <w:sz w:val="16"/>
                <w:szCs w:val="16"/>
              </w:rPr>
              <w:t xml:space="preserve">The “Hypersonic 10-day / 16-hours-a-day” acceleration plan was treated as a candidate execution timeline before its own Risk section (which flagged &lt;7 hrs sleep and burnout by day 6–9) was weighed against a steadier alternative</w:t>
            </w:r>
          </w:p>
        </w:tc>
        <w:tc>
          <w:tcPr>
            <w:tcW w:type="dxa" w:w="3060"/>
            <w:tcMar>
              <w:top w:type="dxa" w:w="60"/>
              <w:left w:type="dxa" w:w="80"/>
              <w:bottom w:type="dxa" w:w="60"/>
              <w:right w:type="dxa" w:w="80"/>
            </w:tcMar>
          </w:tcPr>
          <w:p>
            <w:r>
              <w:rPr>
                <w:color w:val="222222"/>
                <w:sz w:val="16"/>
                <w:szCs w:val="16"/>
              </w:rPr>
              <w:t xml:space="preserve">An unsustainable pace could have been adopted as the default without the side-by-side comparison</w:t>
            </w:r>
          </w:p>
        </w:tc>
      </w:tr>
      <w:tr>
        <w:tc>
          <w:tcPr>
            <w:tcW w:type="dxa" w:w="500"/>
            <w:tcMar>
              <w:top w:type="dxa" w:w="60"/>
              <w:left w:type="dxa" w:w="80"/>
              <w:bottom w:type="dxa" w:w="60"/>
              <w:right w:type="dxa" w:w="80"/>
            </w:tcMar>
          </w:tcPr>
          <w:p>
            <w:r>
              <w:rPr>
                <w:color w:val="222222"/>
                <w:sz w:val="16"/>
                <w:szCs w:val="16"/>
              </w:rPr>
              <w:t xml:space="preserve">5</w:t>
            </w:r>
          </w:p>
        </w:tc>
        <w:tc>
          <w:tcPr>
            <w:tcW w:type="dxa" w:w="5600"/>
            <w:tcMar>
              <w:top w:type="dxa" w:w="60"/>
              <w:left w:type="dxa" w:w="80"/>
              <w:bottom w:type="dxa" w:w="60"/>
              <w:right w:type="dxa" w:w="80"/>
            </w:tcMar>
          </w:tcPr>
          <w:p>
            <w:r>
              <w:rPr>
                <w:color w:val="222222"/>
                <w:sz w:val="16"/>
                <w:szCs w:val="16"/>
              </w:rPr>
              <w:t xml:space="preserve">The shared/ importable component library (metrics.py, config.py, monitoring.py) was built as a retrofit “hardening pass” after Phase 1 notebooks already existed with inline duplicated logic</w:t>
            </w:r>
          </w:p>
        </w:tc>
        <w:tc>
          <w:tcPr>
            <w:tcW w:type="dxa" w:w="3060"/>
            <w:tcMar>
              <w:top w:type="dxa" w:w="60"/>
              <w:left w:type="dxa" w:w="80"/>
              <w:bottom w:type="dxa" w:w="60"/>
              <w:right w:type="dxa" w:w="80"/>
            </w:tcMar>
          </w:tcPr>
          <w:p>
            <w:r>
              <w:rPr>
                <w:color w:val="222222"/>
                <w:sz w:val="16"/>
                <w:szCs w:val="16"/>
              </w:rPr>
              <w:t xml:space="preserve">Early notebooks needed a second pass to become reusable instead of being reusable from Notebook 01</w:t>
            </w:r>
          </w:p>
        </w:tc>
      </w:tr>
      <w:tr>
        <w:tc>
          <w:tcPr>
            <w:tcW w:type="dxa" w:w="500"/>
            <w:tcMar>
              <w:top w:type="dxa" w:w="60"/>
              <w:left w:type="dxa" w:w="80"/>
              <w:bottom w:type="dxa" w:w="60"/>
              <w:right w:type="dxa" w:w="80"/>
            </w:tcMar>
          </w:tcPr>
          <w:p>
            <w:r>
              <w:rPr>
                <w:color w:val="222222"/>
                <w:sz w:val="16"/>
                <w:szCs w:val="16"/>
              </w:rPr>
              <w:t xml:space="preserve">6</w:t>
            </w:r>
          </w:p>
        </w:tc>
        <w:tc>
          <w:tcPr>
            <w:tcW w:type="dxa" w:w="5600"/>
            <w:tcMar>
              <w:top w:type="dxa" w:w="60"/>
              <w:left w:type="dxa" w:w="80"/>
              <w:bottom w:type="dxa" w:w="60"/>
              <w:right w:type="dxa" w:w="80"/>
            </w:tcMar>
          </w:tcPr>
          <w:p>
            <w:r>
              <w:rPr>
                <w:color w:val="222222"/>
                <w:sz w:val="16"/>
                <w:szCs w:val="16"/>
              </w:rPr>
              <w:t xml:space="preserve">A separate “20/20 PROJECTS COMPLETE, DEPLOYMENT-READY” portfolio claim surfaced with no per-notebook artifact trail behind it, discovered only when starting this Home Credit project</w:t>
            </w:r>
          </w:p>
        </w:tc>
        <w:tc>
          <w:tcPr>
            <w:tcW w:type="dxa" w:w="3060"/>
            <w:tcMar>
              <w:top w:type="dxa" w:w="60"/>
              <w:left w:type="dxa" w:w="80"/>
              <w:bottom w:type="dxa" w:w="60"/>
              <w:right w:type="dxa" w:w="80"/>
            </w:tcMar>
          </w:tcPr>
          <w:p>
            <w:r>
              <w:rPr>
                <w:color w:val="222222"/>
                <w:sz w:val="16"/>
                <w:szCs w:val="16"/>
              </w:rPr>
              <w:t xml:space="preserve">Completion claims without an evidence trail can persist unchallenged across projects</w:t>
            </w:r>
          </w:p>
        </w:tc>
      </w:tr>
      <w:tr>
        <w:tc>
          <w:tcPr>
            <w:tcW w:type="dxa" w:w="500"/>
            <w:tcMar>
              <w:top w:type="dxa" w:w="60"/>
              <w:left w:type="dxa" w:w="80"/>
              <w:bottom w:type="dxa" w:w="60"/>
              <w:right w:type="dxa" w:w="80"/>
            </w:tcMar>
          </w:tcPr>
          <w:p>
            <w:r>
              <w:rPr>
                <w:color w:val="222222"/>
                <w:sz w:val="16"/>
                <w:szCs w:val="16"/>
              </w:rPr>
              <w:t xml:space="preserve">7</w:t>
            </w:r>
          </w:p>
        </w:tc>
        <w:tc>
          <w:tcPr>
            <w:tcW w:type="dxa" w:w="5600"/>
            <w:tcMar>
              <w:top w:type="dxa" w:w="60"/>
              <w:left w:type="dxa" w:w="80"/>
              <w:bottom w:type="dxa" w:w="60"/>
              <w:right w:type="dxa" w:w="80"/>
            </w:tcMar>
          </w:tcPr>
          <w:p>
            <w:r>
              <w:rPr>
                <w:color w:val="222222"/>
                <w:sz w:val="16"/>
                <w:szCs w:val="16"/>
              </w:rPr>
              <w:t xml:space="preserve">Three planning documents (Master Execution Plan, Global Standard Structure, Hypersonic Acceleration) existed in parallel with different timeframes and day-by-day plans, requiring a mid-project consolidation pass</w:t>
            </w:r>
          </w:p>
        </w:tc>
        <w:tc>
          <w:tcPr>
            <w:tcW w:type="dxa" w:w="3060"/>
            <w:tcMar>
              <w:top w:type="dxa" w:w="60"/>
              <w:left w:type="dxa" w:w="80"/>
              <w:bottom w:type="dxa" w:w="60"/>
              <w:right w:type="dxa" w:w="80"/>
            </w:tcMar>
          </w:tcPr>
          <w:p>
            <w:r>
              <w:rPr>
                <w:color w:val="222222"/>
                <w:sz w:val="16"/>
                <w:szCs w:val="16"/>
              </w:rPr>
              <w:t xml:space="preserve">Contradicting plans in circulation at once create ambiguity about which one governs</w:t>
            </w:r>
          </w:p>
        </w:tc>
      </w:tr>
    </w:tbl>
    <w:p>
      <w:pPr>
        <w:pStyle w:val="Heading1"/>
        <w:pBdr>
          <w:bottom w:val="single" w:color="1F3864" w:sz="12" w:space="4"/>
        </w:pBdr>
        <w:spacing w:after="180" w:before="420"/>
      </w:pPr>
      <w:r>
        <w:rPr>
          <w:b/>
          <w:bCs/>
          <w:color w:val="1F3864"/>
          <w:sz w:val="28"/>
          <w:szCs w:val="28"/>
        </w:rPr>
        <w:t xml:space="preserve">4. Refinements Applied to the Home Credit Suite</w:t>
      </w:r>
    </w:p>
    <w:p>
      <w:pPr>
        <w:spacing w:after="110"/>
      </w:pPr>
      <w:r>
        <w:rPr>
          <w:sz w:val="20"/>
          <w:szCs w:val="20"/>
        </w:rPr>
        <w:t xml:space="preserve">Each numbered refinement below closes the identically numbered gap in Section 3.</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360"/>
      </w:tblGrid>
      <w:tr>
        <w:tc>
          <w:tcPr>
            <w:tcW w:type="dxa" w:w="500"/>
            <w:shd w:fill="1F3864" w:val="clear"/>
            <w:tcMar>
              <w:top w:type="dxa" w:w="60"/>
              <w:left w:type="dxa" w:w="80"/>
              <w:bottom w:type="dxa" w:w="60"/>
              <w:right w:type="dxa" w:w="80"/>
            </w:tcMar>
          </w:tcPr>
          <w:p>
            <w:r>
              <w:rPr>
                <w:b/>
                <w:bCs/>
                <w:color w:val="FFFFFF"/>
                <w:sz w:val="16"/>
                <w:szCs w:val="16"/>
              </w:rPr>
              <w:t xml:space="preserve">#</w:t>
            </w:r>
          </w:p>
        </w:tc>
        <w:tc>
          <w:tcPr>
            <w:tcW w:type="dxa" w:w="5300"/>
            <w:shd w:fill="1F3864" w:val="clear"/>
            <w:tcMar>
              <w:top w:type="dxa" w:w="60"/>
              <w:left w:type="dxa" w:w="80"/>
              <w:bottom w:type="dxa" w:w="60"/>
              <w:right w:type="dxa" w:w="80"/>
            </w:tcMar>
          </w:tcPr>
          <w:p>
            <w:r>
              <w:rPr>
                <w:b/>
                <w:bCs/>
                <w:color w:val="FFFFFF"/>
                <w:sz w:val="16"/>
                <w:szCs w:val="16"/>
              </w:rPr>
              <w:t xml:space="preserve">Refinement</w:t>
            </w:r>
          </w:p>
        </w:tc>
        <w:tc>
          <w:tcPr>
            <w:tcW w:type="dxa" w:w="3360"/>
            <w:shd w:fill="1F3864" w:val="clear"/>
            <w:tcMar>
              <w:top w:type="dxa" w:w="60"/>
              <w:left w:type="dxa" w:w="80"/>
              <w:bottom w:type="dxa" w:w="60"/>
              <w:right w:type="dxa" w:w="80"/>
            </w:tcMar>
          </w:tcPr>
          <w:p>
            <w:r>
              <w:rPr>
                <w:b/>
                <w:bCs/>
                <w:color w:val="FFFFFF"/>
                <w:sz w:val="16"/>
                <w:szCs w:val="16"/>
              </w:rPr>
              <w:t xml:space="preserve">Evidence already in place</w:t>
            </w:r>
          </w:p>
        </w:tc>
      </w:tr>
      <w:tr>
        <w:tc>
          <w:tcPr>
            <w:tcW w:type="dxa" w:w="500"/>
            <w:tcMar>
              <w:top w:type="dxa" w:w="60"/>
              <w:left w:type="dxa" w:w="80"/>
              <w:bottom w:type="dxa" w:w="60"/>
              <w:right w:type="dxa" w:w="80"/>
            </w:tcMar>
          </w:tcPr>
          <w:p>
            <w:r>
              <w:rPr>
                <w:color w:val="222222"/>
                <w:sz w:val="16"/>
                <w:szCs w:val="16"/>
              </w:rPr>
              <w:t xml:space="preserve">1</w:t>
            </w:r>
          </w:p>
        </w:tc>
        <w:tc>
          <w:tcPr>
            <w:tcW w:type="dxa" w:w="5300"/>
            <w:tcMar>
              <w:top w:type="dxa" w:w="60"/>
              <w:left w:type="dxa" w:w="80"/>
              <w:bottom w:type="dxa" w:w="60"/>
              <w:right w:type="dxa" w:w="80"/>
            </w:tcMar>
          </w:tcPr>
          <w:p>
            <w:r>
              <w:rPr>
                <w:color w:val="222222"/>
                <w:sz w:val="16"/>
                <w:szCs w:val="16"/>
              </w:rPr>
              <w:t xml:space="preserve">Every notebook requires TWO checkpoints before “complete”: (a) a real jupyter nbconvert --execute run against a schema-matched synthetic fixture — not just a syntax check, and (b) a real run on the user's actual data with results reported back. Neither alone marks a problem done.</w:t>
            </w:r>
          </w:p>
        </w:tc>
        <w:tc>
          <w:tcPr>
            <w:tcW w:type="dxa" w:w="3360"/>
            <w:tcMar>
              <w:top w:type="dxa" w:w="60"/>
              <w:left w:type="dxa" w:w="80"/>
              <w:bottom w:type="dxa" w:w="60"/>
              <w:right w:type="dxa" w:w="80"/>
            </w:tcMar>
          </w:tcPr>
          <w:p>
            <w:r>
              <w:rPr>
                <w:color w:val="222222"/>
                <w:sz w:val="16"/>
                <w:szCs w:val="16"/>
              </w:rPr>
              <w:t xml:space="preserve">Already applied: Notebook 01 was executed end-to-end on a synthetic fixture (0 errors, all 6 integrity checks passed, bit-identical on repeat run) and is explicitly logged as NOT YET real-run-confirmed.</w:t>
            </w:r>
          </w:p>
        </w:tc>
      </w:tr>
      <w:tr>
        <w:tc>
          <w:tcPr>
            <w:tcW w:type="dxa" w:w="500"/>
            <w:tcMar>
              <w:top w:type="dxa" w:w="60"/>
              <w:left w:type="dxa" w:w="80"/>
              <w:bottom w:type="dxa" w:w="60"/>
              <w:right w:type="dxa" w:w="80"/>
            </w:tcMar>
          </w:tcPr>
          <w:p>
            <w:r>
              <w:rPr>
                <w:color w:val="222222"/>
                <w:sz w:val="16"/>
                <w:szCs w:val="16"/>
              </w:rPr>
              <w:t xml:space="preserve">2</w:t>
            </w:r>
          </w:p>
        </w:tc>
        <w:tc>
          <w:tcPr>
            <w:tcW w:type="dxa" w:w="5300"/>
            <w:tcMar>
              <w:top w:type="dxa" w:w="60"/>
              <w:left w:type="dxa" w:w="80"/>
              <w:bottom w:type="dxa" w:w="60"/>
              <w:right w:type="dxa" w:w="80"/>
            </w:tcMar>
          </w:tcPr>
          <w:p>
            <w:r>
              <w:rPr>
                <w:color w:val="222222"/>
                <w:sz w:val="16"/>
                <w:szCs w:val="16"/>
              </w:rPr>
              <w:t xml:space="preserve">No self-invented scoring rubrics anywhere in this suite. Every reported number is either a named, formula-defined metric (ROC-AUC, precision, KS-statistic, PSI) computed from real data, or a clearly labeled ASSUMPTION with its source.</w:t>
            </w:r>
          </w:p>
        </w:tc>
        <w:tc>
          <w:tcPr>
            <w:tcW w:type="dxa" w:w="3360"/>
            <w:tcMar>
              <w:top w:type="dxa" w:w="60"/>
              <w:left w:type="dxa" w:w="80"/>
              <w:bottom w:type="dxa" w:w="60"/>
              <w:right w:type="dxa" w:w="80"/>
            </w:tcMar>
          </w:tcPr>
          <w:p>
            <w:r>
              <w:rPr>
                <w:color w:val="222222"/>
                <w:sz w:val="16"/>
                <w:szCs w:val="16"/>
              </w:rPr>
              <w:t xml:space="preserve">Applied throughout the Feasibility Audit (Section 11) — every one of the 18 committed problems is tagged Real-data-native, never just “done.” Problems needing formula+assumption business-outcome modeling were removed from committed scope entirely (Section 1) rather than shipped as a lower-rigor tier.</w:t>
            </w:r>
          </w:p>
        </w:tc>
      </w:tr>
      <w:tr>
        <w:tc>
          <w:tcPr>
            <w:tcW w:type="dxa" w:w="500"/>
            <w:tcMar>
              <w:top w:type="dxa" w:w="60"/>
              <w:left w:type="dxa" w:w="80"/>
              <w:bottom w:type="dxa" w:w="60"/>
              <w:right w:type="dxa" w:w="80"/>
            </w:tcMar>
          </w:tcPr>
          <w:p>
            <w:r>
              <w:rPr>
                <w:color w:val="222222"/>
                <w:sz w:val="16"/>
                <w:szCs w:val="16"/>
              </w:rPr>
              <w:t xml:space="preserve">3</w:t>
            </w:r>
          </w:p>
        </w:tc>
        <w:tc>
          <w:tcPr>
            <w:tcW w:type="dxa" w:w="5300"/>
            <w:tcMar>
              <w:top w:type="dxa" w:w="60"/>
              <w:left w:type="dxa" w:w="80"/>
              <w:bottom w:type="dxa" w:w="60"/>
              <w:right w:type="dxa" w:w="80"/>
            </w:tcMar>
          </w:tcPr>
          <w:p>
            <w:r>
              <w:rPr>
                <w:color w:val="222222"/>
                <w:sz w:val="16"/>
                <w:szCs w:val="16"/>
              </w:rPr>
              <w:t xml:space="preserve">The GitHub workflow that broke on AMEX is pre-documented as the standing procedure (Section 13) before it is needed again: commit inside the cloud container (never inside a device-mounted folder), push from a PAT with a verified ‘repo’ scope, from local disk.</w:t>
            </w:r>
          </w:p>
        </w:tc>
        <w:tc>
          <w:tcPr>
            <w:tcW w:type="dxa" w:w="3360"/>
            <w:tcMar>
              <w:top w:type="dxa" w:w="60"/>
              <w:left w:type="dxa" w:w="80"/>
              <w:bottom w:type="dxa" w:w="60"/>
              <w:right w:type="dxa" w:w="80"/>
            </w:tcMar>
          </w:tcPr>
          <w:p>
            <w:r>
              <w:rPr>
                <w:color w:val="222222"/>
                <w:sz w:val="16"/>
                <w:szCs w:val="16"/>
              </w:rPr>
              <w:t xml:space="preserve">Documented once here instead of being re-discovered under time pressure.</w:t>
            </w:r>
          </w:p>
        </w:tc>
      </w:tr>
      <w:tr>
        <w:tc>
          <w:tcPr>
            <w:tcW w:type="dxa" w:w="500"/>
            <w:tcMar>
              <w:top w:type="dxa" w:w="60"/>
              <w:left w:type="dxa" w:w="80"/>
              <w:bottom w:type="dxa" w:w="60"/>
              <w:right w:type="dxa" w:w="80"/>
            </w:tcMar>
          </w:tcPr>
          <w:p>
            <w:r>
              <w:rPr>
                <w:color w:val="222222"/>
                <w:sz w:val="16"/>
                <w:szCs w:val="16"/>
              </w:rPr>
              <w:t xml:space="preserve">4</w:t>
            </w:r>
          </w:p>
        </w:tc>
        <w:tc>
          <w:tcPr>
            <w:tcW w:type="dxa" w:w="5300"/>
            <w:tcMar>
              <w:top w:type="dxa" w:w="60"/>
              <w:left w:type="dxa" w:w="80"/>
              <w:bottom w:type="dxa" w:w="60"/>
              <w:right w:type="dxa" w:w="80"/>
            </w:tcMar>
          </w:tcPr>
          <w:p>
            <w:r>
              <w:rPr>
                <w:color w:val="222222"/>
                <w:sz w:val="16"/>
                <w:szCs w:val="16"/>
              </w:rPr>
              <w:t xml:space="preserve">One realistic pacing model, stated once in this document (Section 14), replaces the need to reconcile multiple acceleration plans mid-project.</w:t>
            </w:r>
          </w:p>
        </w:tc>
        <w:tc>
          <w:tcPr>
            <w:tcW w:type="dxa" w:w="3360"/>
            <w:tcMar>
              <w:top w:type="dxa" w:w="60"/>
              <w:left w:type="dxa" w:w="80"/>
              <w:bottom w:type="dxa" w:w="60"/>
              <w:right w:type="dxa" w:w="80"/>
            </w:tcMar>
          </w:tcPr>
          <w:p>
            <w:r>
              <w:rPr>
                <w:color w:val="222222"/>
                <w:sz w:val="16"/>
                <w:szCs w:val="16"/>
              </w:rPr>
              <w:t xml:space="preserve">No competing delivery-speed document exists for this suite — HYPER (Section 8) is the single standing technique set.</w:t>
            </w:r>
          </w:p>
        </w:tc>
      </w:tr>
      <w:tr>
        <w:tc>
          <w:tcPr>
            <w:tcW w:type="dxa" w:w="500"/>
            <w:tcMar>
              <w:top w:type="dxa" w:w="60"/>
              <w:left w:type="dxa" w:w="80"/>
              <w:bottom w:type="dxa" w:w="60"/>
              <w:right w:type="dxa" w:w="80"/>
            </w:tcMar>
          </w:tcPr>
          <w:p>
            <w:r>
              <w:rPr>
                <w:color w:val="222222"/>
                <w:sz w:val="16"/>
                <w:szCs w:val="16"/>
              </w:rPr>
              <w:t xml:space="preserve">5</w:t>
            </w:r>
          </w:p>
        </w:tc>
        <w:tc>
          <w:tcPr>
            <w:tcW w:type="dxa" w:w="5300"/>
            <w:tcMar>
              <w:top w:type="dxa" w:w="60"/>
              <w:left w:type="dxa" w:w="80"/>
              <w:bottom w:type="dxa" w:w="60"/>
              <w:right w:type="dxa" w:w="80"/>
            </w:tcMar>
          </w:tcPr>
          <w:p>
            <w:r>
              <w:rPr>
                <w:color w:val="222222"/>
                <w:sz w:val="16"/>
                <w:szCs w:val="16"/>
              </w:rPr>
              <w:t xml:space="preserve">The src/{features,models,utils}/ shared library is scaffolded at the project root from day one (already created), and every Mega Project's notebooks are expected to import from it rather than duplicate logic inline.</w:t>
            </w:r>
          </w:p>
        </w:tc>
        <w:tc>
          <w:tcPr>
            <w:tcW w:type="dxa" w:w="3360"/>
            <w:tcMar>
              <w:top w:type="dxa" w:w="60"/>
              <w:left w:type="dxa" w:w="80"/>
              <w:bottom w:type="dxa" w:w="60"/>
              <w:right w:type="dxa" w:w="80"/>
            </w:tcMar>
          </w:tcPr>
          <w:p>
            <w:r>
              <w:rPr>
                <w:color w:val="222222"/>
                <w:sz w:val="16"/>
                <w:szCs w:val="16"/>
              </w:rPr>
              <w:t xml:space="preserve">Already scaffolded in the home-credit-enterprise-suite folder structure before Notebook 01 was written.</w:t>
            </w:r>
          </w:p>
        </w:tc>
      </w:tr>
      <w:tr>
        <w:tc>
          <w:tcPr>
            <w:tcW w:type="dxa" w:w="500"/>
            <w:tcMar>
              <w:top w:type="dxa" w:w="60"/>
              <w:left w:type="dxa" w:w="80"/>
              <w:bottom w:type="dxa" w:w="60"/>
              <w:right w:type="dxa" w:w="80"/>
            </w:tcMar>
          </w:tcPr>
          <w:p>
            <w:r>
              <w:rPr>
                <w:color w:val="222222"/>
                <w:sz w:val="16"/>
                <w:szCs w:val="16"/>
              </w:rPr>
              <w:t xml:space="preserve">6</w:t>
            </w:r>
          </w:p>
        </w:tc>
        <w:tc>
          <w:tcPr>
            <w:tcW w:type="dxa" w:w="5300"/>
            <w:tcMar>
              <w:top w:type="dxa" w:w="60"/>
              <w:left w:type="dxa" w:w="80"/>
              <w:bottom w:type="dxa" w:w="60"/>
              <w:right w:type="dxa" w:w="80"/>
            </w:tcMar>
          </w:tcPr>
          <w:p>
            <w:r>
              <w:rPr>
                <w:color w:val="222222"/>
                <w:sz w:val="16"/>
                <w:szCs w:val="16"/>
              </w:rPr>
              <w:t xml:space="preserve">A completion claim is only valid with an Evidence Ledger entry (Section 12): real-run confirmation, integrity-check results, and an artifact/commit reference. No ledger entry, no “complete.”</w:t>
            </w:r>
          </w:p>
        </w:tc>
        <w:tc>
          <w:tcPr>
            <w:tcW w:type="dxa" w:w="3360"/>
            <w:tcMar>
              <w:top w:type="dxa" w:w="60"/>
              <w:left w:type="dxa" w:w="80"/>
              <w:bottom w:type="dxa" w:w="60"/>
              <w:right w:type="dxa" w:w="80"/>
            </w:tcMar>
          </w:tcPr>
          <w:p>
            <w:r>
              <w:rPr>
                <w:color w:val="222222"/>
                <w:sz w:val="16"/>
                <w:szCs w:val="16"/>
              </w:rPr>
              <w:t xml:space="preserve">The Evidence Ledger template in Section 12 is the single source of truth for suite status going forward.</w:t>
            </w:r>
          </w:p>
        </w:tc>
      </w:tr>
      <w:tr>
        <w:tc>
          <w:tcPr>
            <w:tcW w:type="dxa" w:w="500"/>
            <w:tcMar>
              <w:top w:type="dxa" w:w="60"/>
              <w:left w:type="dxa" w:w="80"/>
              <w:bottom w:type="dxa" w:w="60"/>
              <w:right w:type="dxa" w:w="80"/>
            </w:tcMar>
          </w:tcPr>
          <w:p>
            <w:r>
              <w:rPr>
                <w:color w:val="222222"/>
                <w:sz w:val="16"/>
                <w:szCs w:val="16"/>
              </w:rPr>
              <w:t xml:space="preserve">7</w:t>
            </w:r>
          </w:p>
        </w:tc>
        <w:tc>
          <w:tcPr>
            <w:tcW w:type="dxa" w:w="5300"/>
            <w:tcMar>
              <w:top w:type="dxa" w:w="60"/>
              <w:left w:type="dxa" w:w="80"/>
              <w:bottom w:type="dxa" w:w="60"/>
              <w:right w:type="dxa" w:w="80"/>
            </w:tcMar>
          </w:tcPr>
          <w:p>
            <w:r>
              <w:rPr>
                <w:color w:val="222222"/>
                <w:sz w:val="16"/>
                <w:szCs w:val="16"/>
              </w:rPr>
              <w:t xml:space="preserve">This document is the ONLY master plan for the Home Credit suite. Prior related documents (the original 5/6-Mega-Project source doc, the reconciled plan, the feasibility audit, and Version 1.0 of this plan itself) are explicitly superseded on any point where they conflict with this one.</w:t>
            </w:r>
          </w:p>
        </w:tc>
        <w:tc>
          <w:tcPr>
            <w:tcW w:type="dxa" w:w="3360"/>
            <w:tcMar>
              <w:top w:type="dxa" w:w="60"/>
              <w:left w:type="dxa" w:w="80"/>
              <w:bottom w:type="dxa" w:w="60"/>
              <w:right w:type="dxa" w:w="80"/>
            </w:tcMar>
          </w:tcPr>
          <w:p>
            <w:r>
              <w:rPr>
                <w:color w:val="222222"/>
                <w:sz w:val="16"/>
                <w:szCs w:val="16"/>
              </w:rPr>
              <w:t xml:space="preserve">Stated plainly in Section 1. This Version 2.0 supersedes Version 1.0 specifically on the Mega Project scope change (6→5 Mega Projects, 23→18 problems).</w:t>
            </w:r>
          </w:p>
        </w:tc>
      </w:tr>
    </w:tbl>
    <w:p>
      <w:r>
        <w:br w:type="page"/>
      </w:r>
    </w:p>
    <w:p>
      <w:pPr>
        <w:pStyle w:val="Heading1"/>
        <w:pBdr>
          <w:bottom w:val="single" w:color="1F3864" w:sz="12" w:space="4"/>
        </w:pBdr>
        <w:spacing w:after="180" w:before="420"/>
      </w:pPr>
      <w:r>
        <w:rPr>
          <w:b/>
          <w:bCs/>
          <w:color w:val="1F3864"/>
          <w:sz w:val="28"/>
          <w:szCs w:val="28"/>
        </w:rPr>
        <w:t xml:space="preserve">5. Governance SOP — 6-Stage Notebook Lifecycle</w:t>
      </w:r>
    </w:p>
    <w:p>
      <w:pPr>
        <w:spacing w:after="110"/>
      </w:pPr>
      <w:r>
        <w:rPr>
          <w:sz w:val="20"/>
          <w:szCs w:val="20"/>
        </w:rPr>
        <w:t xml:space="preserve">Every one of the 18 committed problems moves through the same six stages, in order. A problem is not “complete” until Stage 6 has a real Evidence Ledger row (Section 12).</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50"/>
        <w:gridCol w:w="1600"/>
        <w:gridCol w:w="1900"/>
        <w:gridCol w:w="2300"/>
        <w:gridCol w:w="2810"/>
      </w:tblGrid>
      <w:tr>
        <w:tc>
          <w:tcPr>
            <w:tcW w:type="dxa" w:w="550"/>
            <w:shd w:fill="1F3864" w:val="clear"/>
            <w:tcMar>
              <w:top w:type="dxa" w:w="60"/>
              <w:left w:type="dxa" w:w="80"/>
              <w:bottom w:type="dxa" w:w="60"/>
              <w:right w:type="dxa" w:w="80"/>
            </w:tcMar>
          </w:tcPr>
          <w:p>
            <w:r>
              <w:rPr>
                <w:b/>
                <w:bCs/>
                <w:color w:val="FFFFFF"/>
                <w:sz w:val="16"/>
                <w:szCs w:val="16"/>
              </w:rPr>
              <w:t xml:space="preserve">#</w:t>
            </w:r>
          </w:p>
        </w:tc>
        <w:tc>
          <w:tcPr>
            <w:tcW w:type="dxa" w:w="1600"/>
            <w:shd w:fill="1F3864" w:val="clear"/>
            <w:tcMar>
              <w:top w:type="dxa" w:w="60"/>
              <w:left w:type="dxa" w:w="80"/>
              <w:bottom w:type="dxa" w:w="60"/>
              <w:right w:type="dxa" w:w="80"/>
            </w:tcMar>
          </w:tcPr>
          <w:p>
            <w:r>
              <w:rPr>
                <w:b/>
                <w:bCs/>
                <w:color w:val="FFFFFF"/>
                <w:sz w:val="16"/>
                <w:szCs w:val="16"/>
              </w:rPr>
              <w:t xml:space="preserve">Name</w:t>
            </w:r>
          </w:p>
        </w:tc>
        <w:tc>
          <w:tcPr>
            <w:tcW w:type="dxa" w:w="1900"/>
            <w:shd w:fill="1F3864" w:val="clear"/>
            <w:tcMar>
              <w:top w:type="dxa" w:w="60"/>
              <w:left w:type="dxa" w:w="80"/>
              <w:bottom w:type="dxa" w:w="60"/>
              <w:right w:type="dxa" w:w="80"/>
            </w:tcMar>
          </w:tcPr>
          <w:p>
            <w:r>
              <w:rPr>
                <w:b/>
                <w:bCs/>
                <w:color w:val="FFFFFF"/>
                <w:sz w:val="16"/>
                <w:szCs w:val="16"/>
              </w:rPr>
              <w:t xml:space="preserve">Input</w:t>
            </w:r>
          </w:p>
        </w:tc>
        <w:tc>
          <w:tcPr>
            <w:tcW w:type="dxa" w:w="2300"/>
            <w:shd w:fill="1F3864" w:val="clear"/>
            <w:tcMar>
              <w:top w:type="dxa" w:w="60"/>
              <w:left w:type="dxa" w:w="80"/>
              <w:bottom w:type="dxa" w:w="60"/>
              <w:right w:type="dxa" w:w="80"/>
            </w:tcMar>
          </w:tcPr>
          <w:p>
            <w:r>
              <w:rPr>
                <w:b/>
                <w:bCs/>
                <w:color w:val="FFFFFF"/>
                <w:sz w:val="16"/>
                <w:szCs w:val="16"/>
              </w:rPr>
              <w:t xml:space="preserve">Output</w:t>
            </w:r>
          </w:p>
        </w:tc>
        <w:tc>
          <w:tcPr>
            <w:tcW w:type="dxa" w:w="2810"/>
            <w:shd w:fill="1F3864" w:val="clear"/>
            <w:tcMar>
              <w:top w:type="dxa" w:w="60"/>
              <w:left w:type="dxa" w:w="80"/>
              <w:bottom w:type="dxa" w:w="60"/>
              <w:right w:type="dxa" w:w="80"/>
            </w:tcMar>
          </w:tcPr>
          <w:p>
            <w:r>
              <w:rPr>
                <w:b/>
                <w:bCs/>
                <w:color w:val="FFFFFF"/>
                <w:sz w:val="16"/>
                <w:szCs w:val="16"/>
              </w:rPr>
              <w:t xml:space="preserve">Exit Criteria</w:t>
            </w:r>
          </w:p>
        </w:tc>
      </w:tr>
      <w:tr>
        <w:tc>
          <w:tcPr>
            <w:tcW w:type="dxa" w:w="550"/>
            <w:tcMar>
              <w:top w:type="dxa" w:w="60"/>
              <w:left w:type="dxa" w:w="80"/>
              <w:bottom w:type="dxa" w:w="60"/>
              <w:right w:type="dxa" w:w="80"/>
            </w:tcMar>
          </w:tcPr>
          <w:p>
            <w:r>
              <w:rPr>
                <w:color w:val="222222"/>
                <w:sz w:val="16"/>
                <w:szCs w:val="16"/>
              </w:rPr>
              <w:t xml:space="preserve">1</w:t>
            </w:r>
          </w:p>
        </w:tc>
        <w:tc>
          <w:tcPr>
            <w:tcW w:type="dxa" w:w="1600"/>
            <w:tcMar>
              <w:top w:type="dxa" w:w="60"/>
              <w:left w:type="dxa" w:w="80"/>
              <w:bottom w:type="dxa" w:w="60"/>
              <w:right w:type="dxa" w:w="80"/>
            </w:tcMar>
          </w:tcPr>
          <w:p>
            <w:r>
              <w:rPr>
                <w:color w:val="222222"/>
                <w:sz w:val="16"/>
                <w:szCs w:val="16"/>
              </w:rPr>
              <w:t xml:space="preserve">Business Understanding &amp; Policy</w:t>
            </w:r>
          </w:p>
        </w:tc>
        <w:tc>
          <w:tcPr>
            <w:tcW w:type="dxa" w:w="1900"/>
            <w:tcMar>
              <w:top w:type="dxa" w:w="60"/>
              <w:left w:type="dxa" w:w="80"/>
              <w:bottom w:type="dxa" w:w="60"/>
              <w:right w:type="dxa" w:w="80"/>
            </w:tcMar>
          </w:tcPr>
          <w:p>
            <w:r>
              <w:rPr>
                <w:color w:val="222222"/>
                <w:sz w:val="16"/>
                <w:szCs w:val="16"/>
              </w:rPr>
              <w:t xml:space="preserve">Real business question, real columns available (per Feasibility Audit)</w:t>
            </w:r>
          </w:p>
        </w:tc>
        <w:tc>
          <w:tcPr>
            <w:tcW w:type="dxa" w:w="2300"/>
            <w:tcMar>
              <w:top w:type="dxa" w:w="60"/>
              <w:left w:type="dxa" w:w="80"/>
              <w:bottom w:type="dxa" w:w="60"/>
              <w:right w:type="dxa" w:w="80"/>
            </w:tcMar>
          </w:tcPr>
          <w:p>
            <w:r>
              <w:rPr>
                <w:color w:val="222222"/>
                <w:sz w:val="16"/>
                <w:szCs w:val="16"/>
              </w:rPr>
              <w:t xml:space="preserve">policy.json: scope, target definition, explicit ASSUMPTIONs</w:t>
            </w:r>
          </w:p>
        </w:tc>
        <w:tc>
          <w:tcPr>
            <w:tcW w:type="dxa" w:w="2810"/>
            <w:tcMar>
              <w:top w:type="dxa" w:w="60"/>
              <w:left w:type="dxa" w:w="80"/>
              <w:bottom w:type="dxa" w:w="60"/>
              <w:right w:type="dxa" w:w="80"/>
            </w:tcMar>
          </w:tcPr>
          <w:p>
            <w:r>
              <w:rPr>
                <w:color w:val="222222"/>
                <w:sz w:val="16"/>
                <w:szCs w:val="16"/>
              </w:rPr>
              <w:t xml:space="preserve">Policy reviewed against real schema; no target leakage possible by construction</w:t>
            </w:r>
          </w:p>
        </w:tc>
      </w:tr>
      <w:tr>
        <w:tc>
          <w:tcPr>
            <w:tcW w:type="dxa" w:w="550"/>
            <w:tcMar>
              <w:top w:type="dxa" w:w="60"/>
              <w:left w:type="dxa" w:w="80"/>
              <w:bottom w:type="dxa" w:w="60"/>
              <w:right w:type="dxa" w:w="80"/>
            </w:tcMar>
          </w:tcPr>
          <w:p>
            <w:r>
              <w:rPr>
                <w:color w:val="222222"/>
                <w:sz w:val="16"/>
                <w:szCs w:val="16"/>
              </w:rPr>
              <w:t xml:space="preserve">2</w:t>
            </w:r>
          </w:p>
        </w:tc>
        <w:tc>
          <w:tcPr>
            <w:tcW w:type="dxa" w:w="1600"/>
            <w:tcMar>
              <w:top w:type="dxa" w:w="60"/>
              <w:left w:type="dxa" w:w="80"/>
              <w:bottom w:type="dxa" w:w="60"/>
              <w:right w:type="dxa" w:w="80"/>
            </w:tcMar>
          </w:tcPr>
          <w:p>
            <w:r>
              <w:rPr>
                <w:color w:val="222222"/>
                <w:sz w:val="16"/>
                <w:szCs w:val="16"/>
              </w:rPr>
              <w:t xml:space="preserve">Data Verification &amp; Feature Engineering (WARP)</w:t>
            </w:r>
          </w:p>
        </w:tc>
        <w:tc>
          <w:tcPr>
            <w:tcW w:type="dxa" w:w="1900"/>
            <w:tcMar>
              <w:top w:type="dxa" w:w="60"/>
              <w:left w:type="dxa" w:w="80"/>
              <w:bottom w:type="dxa" w:w="60"/>
              <w:right w:type="dxa" w:w="80"/>
            </w:tcMar>
          </w:tcPr>
          <w:p>
            <w:r>
              <w:rPr>
                <w:color w:val="222222"/>
                <w:sz w:val="16"/>
                <w:szCs w:val="16"/>
              </w:rPr>
              <w:t xml:space="preserve">Raw Kaggle CSVs</w:t>
            </w:r>
          </w:p>
        </w:tc>
        <w:tc>
          <w:tcPr>
            <w:tcW w:type="dxa" w:w="2300"/>
            <w:tcMar>
              <w:top w:type="dxa" w:w="60"/>
              <w:left w:type="dxa" w:w="80"/>
              <w:bottom w:type="dxa" w:w="60"/>
              <w:right w:type="dxa" w:w="80"/>
            </w:tcMar>
          </w:tcPr>
          <w:p>
            <w:r>
              <w:rPr>
                <w:color w:val="222222"/>
                <w:sz w:val="16"/>
                <w:szCs w:val="16"/>
              </w:rPr>
              <w:t xml:space="preserve">Engineered feature set, real row/column counts logged</w:t>
            </w:r>
          </w:p>
        </w:tc>
        <w:tc>
          <w:tcPr>
            <w:tcW w:type="dxa" w:w="2810"/>
            <w:tcMar>
              <w:top w:type="dxa" w:w="60"/>
              <w:left w:type="dxa" w:w="80"/>
              <w:bottom w:type="dxa" w:w="60"/>
              <w:right w:type="dxa" w:w="80"/>
            </w:tcMar>
          </w:tcPr>
          <w:p>
            <w:r>
              <w:rPr>
                <w:color w:val="222222"/>
                <w:sz w:val="16"/>
                <w:szCs w:val="16"/>
              </w:rPr>
              <w:t xml:space="preserve">Zero nulls silently dropped; every transform vectorized (Polars); category/float32 dtypes</w:t>
            </w:r>
          </w:p>
        </w:tc>
      </w:tr>
      <w:tr>
        <w:tc>
          <w:tcPr>
            <w:tcW w:type="dxa" w:w="550"/>
            <w:tcMar>
              <w:top w:type="dxa" w:w="60"/>
              <w:left w:type="dxa" w:w="80"/>
              <w:bottom w:type="dxa" w:w="60"/>
              <w:right w:type="dxa" w:w="80"/>
            </w:tcMar>
          </w:tcPr>
          <w:p>
            <w:r>
              <w:rPr>
                <w:color w:val="222222"/>
                <w:sz w:val="16"/>
                <w:szCs w:val="16"/>
              </w:rPr>
              <w:t xml:space="preserve">3</w:t>
            </w:r>
          </w:p>
        </w:tc>
        <w:tc>
          <w:tcPr>
            <w:tcW w:type="dxa" w:w="1600"/>
            <w:tcMar>
              <w:top w:type="dxa" w:w="60"/>
              <w:left w:type="dxa" w:w="80"/>
              <w:bottom w:type="dxa" w:w="60"/>
              <w:right w:type="dxa" w:w="80"/>
            </w:tcMar>
          </w:tcPr>
          <w:p>
            <w:r>
              <w:rPr>
                <w:color w:val="222222"/>
                <w:sz w:val="16"/>
                <w:szCs w:val="16"/>
              </w:rPr>
              <w:t xml:space="preserve">Model Benchmark &amp; Champion Selection</w:t>
            </w:r>
          </w:p>
        </w:tc>
        <w:tc>
          <w:tcPr>
            <w:tcW w:type="dxa" w:w="1900"/>
            <w:tcMar>
              <w:top w:type="dxa" w:w="60"/>
              <w:left w:type="dxa" w:w="80"/>
              <w:bottom w:type="dxa" w:w="60"/>
              <w:right w:type="dxa" w:w="80"/>
            </w:tcMar>
          </w:tcPr>
          <w:p>
            <w:r>
              <w:rPr>
                <w:color w:val="222222"/>
                <w:sz w:val="16"/>
                <w:szCs w:val="16"/>
              </w:rPr>
              <w:t xml:space="preserve">Engineered features</w:t>
            </w:r>
          </w:p>
        </w:tc>
        <w:tc>
          <w:tcPr>
            <w:tcW w:type="dxa" w:w="2300"/>
            <w:tcMar>
              <w:top w:type="dxa" w:w="60"/>
              <w:left w:type="dxa" w:w="80"/>
              <w:bottom w:type="dxa" w:w="60"/>
              <w:right w:type="dxa" w:w="80"/>
            </w:tcMar>
          </w:tcPr>
          <w:p>
            <w:r>
              <w:rPr>
                <w:color w:val="222222"/>
                <w:sz w:val="16"/>
                <w:szCs w:val="16"/>
              </w:rPr>
              <w:t xml:space="preserve">6-model CV benchmark (LogReg/RF/GBM/XGBoost/CatBoost/LightGBM), champion model</w:t>
            </w:r>
          </w:p>
        </w:tc>
        <w:tc>
          <w:tcPr>
            <w:tcW w:type="dxa" w:w="2810"/>
            <w:tcMar>
              <w:top w:type="dxa" w:w="60"/>
              <w:left w:type="dxa" w:w="80"/>
              <w:bottom w:type="dxa" w:w="60"/>
              <w:right w:type="dxa" w:w="80"/>
            </w:tcMar>
          </w:tcPr>
          <w:p>
            <w:r>
              <w:rPr>
                <w:color w:val="222222"/>
                <w:sz w:val="16"/>
                <w:szCs w:val="16"/>
              </w:rPr>
              <w:t xml:space="preserve">StratifiedKFold(5, seed=42) identical across all 6 models; champion picked by mean CV metric, not cherry-picked</w:t>
            </w:r>
          </w:p>
        </w:tc>
      </w:tr>
      <w:tr>
        <w:tc>
          <w:tcPr>
            <w:tcW w:type="dxa" w:w="550"/>
            <w:tcMar>
              <w:top w:type="dxa" w:w="60"/>
              <w:left w:type="dxa" w:w="80"/>
              <w:bottom w:type="dxa" w:w="60"/>
              <w:right w:type="dxa" w:w="80"/>
            </w:tcMar>
          </w:tcPr>
          <w:p>
            <w:r>
              <w:rPr>
                <w:color w:val="222222"/>
                <w:sz w:val="16"/>
                <w:szCs w:val="16"/>
              </w:rPr>
              <w:t xml:space="preserve">4</w:t>
            </w:r>
          </w:p>
        </w:tc>
        <w:tc>
          <w:tcPr>
            <w:tcW w:type="dxa" w:w="1600"/>
            <w:tcMar>
              <w:top w:type="dxa" w:w="60"/>
              <w:left w:type="dxa" w:w="80"/>
              <w:bottom w:type="dxa" w:w="60"/>
              <w:right w:type="dxa" w:w="80"/>
            </w:tcMar>
          </w:tcPr>
          <w:p>
            <w:r>
              <w:rPr>
                <w:color w:val="222222"/>
                <w:sz w:val="16"/>
                <w:szCs w:val="16"/>
              </w:rPr>
              <w:t xml:space="preserve">Statistical Validation &amp; Deployment Readiness</w:t>
            </w:r>
          </w:p>
        </w:tc>
        <w:tc>
          <w:tcPr>
            <w:tcW w:type="dxa" w:w="1900"/>
            <w:tcMar>
              <w:top w:type="dxa" w:w="60"/>
              <w:left w:type="dxa" w:w="80"/>
              <w:bottom w:type="dxa" w:w="60"/>
              <w:right w:type="dxa" w:w="80"/>
            </w:tcMar>
          </w:tcPr>
          <w:p>
            <w:r>
              <w:rPr>
                <w:color w:val="222222"/>
                <w:sz w:val="16"/>
                <w:szCs w:val="16"/>
              </w:rPr>
              <w:t xml:space="preserve">Champion model</w:t>
            </w:r>
          </w:p>
        </w:tc>
        <w:tc>
          <w:tcPr>
            <w:tcW w:type="dxa" w:w="2300"/>
            <w:tcMar>
              <w:top w:type="dxa" w:w="60"/>
              <w:left w:type="dxa" w:w="80"/>
              <w:bottom w:type="dxa" w:w="60"/>
              <w:right w:type="dxa" w:w="80"/>
            </w:tcMar>
          </w:tcPr>
          <w:p>
            <w:r>
              <w:rPr>
                <w:color w:val="222222"/>
                <w:sz w:val="16"/>
                <w:szCs w:val="16"/>
              </w:rPr>
              <w:t xml:space="preserve">Bootstrap CI, calibration check, PSI stability check, self-tested API/service</w:t>
            </w:r>
          </w:p>
        </w:tc>
        <w:tc>
          <w:tcPr>
            <w:tcW w:type="dxa" w:w="2810"/>
            <w:tcMar>
              <w:top w:type="dxa" w:w="60"/>
              <w:left w:type="dxa" w:w="80"/>
              <w:bottom w:type="dxa" w:w="60"/>
              <w:right w:type="dxa" w:w="80"/>
            </w:tcMar>
          </w:tcPr>
          <w:p>
            <w:r>
              <w:rPr>
                <w:color w:val="222222"/>
                <w:sz w:val="16"/>
                <w:szCs w:val="16"/>
              </w:rPr>
              <w:t xml:space="preserve">All checks numeric and reproducible; API self-test diff against direct computation must be ~0</w:t>
            </w:r>
          </w:p>
        </w:tc>
      </w:tr>
      <w:tr>
        <w:tc>
          <w:tcPr>
            <w:tcW w:type="dxa" w:w="550"/>
            <w:tcMar>
              <w:top w:type="dxa" w:w="60"/>
              <w:left w:type="dxa" w:w="80"/>
              <w:bottom w:type="dxa" w:w="60"/>
              <w:right w:type="dxa" w:w="80"/>
            </w:tcMar>
          </w:tcPr>
          <w:p>
            <w:r>
              <w:rPr>
                <w:color w:val="222222"/>
                <w:sz w:val="16"/>
                <w:szCs w:val="16"/>
              </w:rPr>
              <w:t xml:space="preserve">5</w:t>
            </w:r>
          </w:p>
        </w:tc>
        <w:tc>
          <w:tcPr>
            <w:tcW w:type="dxa" w:w="1600"/>
            <w:tcMar>
              <w:top w:type="dxa" w:w="60"/>
              <w:left w:type="dxa" w:w="80"/>
              <w:bottom w:type="dxa" w:w="60"/>
              <w:right w:type="dxa" w:w="80"/>
            </w:tcMar>
          </w:tcPr>
          <w:p>
            <w:r>
              <w:rPr>
                <w:color w:val="222222"/>
                <w:sz w:val="16"/>
                <w:szCs w:val="16"/>
              </w:rPr>
              <w:t xml:space="preserve">Financial-Impact Reporting &amp; Packaging</w:t>
            </w:r>
          </w:p>
        </w:tc>
        <w:tc>
          <w:tcPr>
            <w:tcW w:type="dxa" w:w="1900"/>
            <w:tcMar>
              <w:top w:type="dxa" w:w="60"/>
              <w:left w:type="dxa" w:w="80"/>
              <w:bottom w:type="dxa" w:w="60"/>
              <w:right w:type="dxa" w:w="80"/>
            </w:tcMar>
          </w:tcPr>
          <w:p>
            <w:r>
              <w:rPr>
                <w:color w:val="222222"/>
                <w:sz w:val="16"/>
                <w:szCs w:val="16"/>
              </w:rPr>
              <w:t xml:space="preserve">Validated model + real business inputs</w:t>
            </w:r>
          </w:p>
        </w:tc>
        <w:tc>
          <w:tcPr>
            <w:tcW w:type="dxa" w:w="2300"/>
            <w:tcMar>
              <w:top w:type="dxa" w:w="60"/>
              <w:left w:type="dxa" w:w="80"/>
              <w:bottom w:type="dxa" w:w="60"/>
              <w:right w:type="dxa" w:w="80"/>
            </w:tcMar>
          </w:tcPr>
          <w:p>
            <w:r>
              <w:rPr>
                <w:color w:val="222222"/>
                <w:sz w:val="16"/>
                <w:szCs w:val="16"/>
              </w:rPr>
              <w:t xml:space="preserve">Word report + Excel workbook (formula-driven, recalc-verified) + HTML dashboard</w:t>
            </w:r>
          </w:p>
        </w:tc>
        <w:tc>
          <w:tcPr>
            <w:tcW w:type="dxa" w:w="2810"/>
            <w:tcMar>
              <w:top w:type="dxa" w:w="60"/>
              <w:left w:type="dxa" w:w="80"/>
              <w:bottom w:type="dxa" w:w="60"/>
              <w:right w:type="dxa" w:w="80"/>
            </w:tcMar>
          </w:tcPr>
          <w:p>
            <w:r>
              <w:rPr>
                <w:color w:val="222222"/>
                <w:sz w:val="16"/>
                <w:szCs w:val="16"/>
              </w:rPr>
              <w:t xml:space="preserve">Every dollar figure traces to a real computed input or a labeled ASSUMPTION — never a bare number</w:t>
            </w:r>
          </w:p>
        </w:tc>
      </w:tr>
      <w:tr>
        <w:tc>
          <w:tcPr>
            <w:tcW w:type="dxa" w:w="550"/>
            <w:tcMar>
              <w:top w:type="dxa" w:w="60"/>
              <w:left w:type="dxa" w:w="80"/>
              <w:bottom w:type="dxa" w:w="60"/>
              <w:right w:type="dxa" w:w="80"/>
            </w:tcMar>
          </w:tcPr>
          <w:p>
            <w:r>
              <w:rPr>
                <w:color w:val="222222"/>
                <w:sz w:val="16"/>
                <w:szCs w:val="16"/>
              </w:rPr>
              <w:t xml:space="preserve">6</w:t>
            </w:r>
          </w:p>
        </w:tc>
        <w:tc>
          <w:tcPr>
            <w:tcW w:type="dxa" w:w="1600"/>
            <w:tcMar>
              <w:top w:type="dxa" w:w="60"/>
              <w:left w:type="dxa" w:w="80"/>
              <w:bottom w:type="dxa" w:w="60"/>
              <w:right w:type="dxa" w:w="80"/>
            </w:tcMar>
          </w:tcPr>
          <w:p>
            <w:r>
              <w:rPr>
                <w:color w:val="222222"/>
                <w:sz w:val="16"/>
                <w:szCs w:val="16"/>
              </w:rPr>
              <w:t xml:space="preserve">Production Packaging &amp; Governance</w:t>
            </w:r>
          </w:p>
        </w:tc>
        <w:tc>
          <w:tcPr>
            <w:tcW w:type="dxa" w:w="1900"/>
            <w:tcMar>
              <w:top w:type="dxa" w:w="60"/>
              <w:left w:type="dxa" w:w="80"/>
              <w:bottom w:type="dxa" w:w="60"/>
              <w:right w:type="dxa" w:w="80"/>
            </w:tcMar>
          </w:tcPr>
          <w:p>
            <w:r>
              <w:rPr>
                <w:color w:val="222222"/>
                <w:sz w:val="16"/>
                <w:szCs w:val="16"/>
              </w:rPr>
              <w:t xml:space="preserve">Everything above</w:t>
            </w:r>
          </w:p>
        </w:tc>
        <w:tc>
          <w:tcPr>
            <w:tcW w:type="dxa" w:w="2300"/>
            <w:tcMar>
              <w:top w:type="dxa" w:w="60"/>
              <w:left w:type="dxa" w:w="80"/>
              <w:bottom w:type="dxa" w:w="60"/>
              <w:right w:type="dxa" w:w="80"/>
            </w:tcMar>
          </w:tcPr>
          <w:p>
            <w:r>
              <w:rPr>
                <w:color w:val="222222"/>
                <w:sz w:val="16"/>
                <w:szCs w:val="16"/>
              </w:rPr>
              <w:t xml:space="preserve">MODEL_CARD.md, CHANGELOG.md, pytest suite, CI workflow entry, Evidence Ledger row</w:t>
            </w:r>
          </w:p>
        </w:tc>
        <w:tc>
          <w:tcPr>
            <w:tcW w:type="dxa" w:w="2810"/>
            <w:tcMar>
              <w:top w:type="dxa" w:w="60"/>
              <w:left w:type="dxa" w:w="80"/>
              <w:bottom w:type="dxa" w:w="60"/>
              <w:right w:type="dxa" w:w="80"/>
            </w:tcMar>
          </w:tcPr>
          <w:p>
            <w:r>
              <w:rPr>
                <w:color w:val="222222"/>
                <w:sz w:val="16"/>
                <w:szCs w:val="16"/>
              </w:rPr>
              <w:t xml:space="preserve">Governance artifacts exist BEFORE the problem is marked complete, not retrofitted later</w:t>
            </w:r>
          </w:p>
        </w:tc>
      </w:tr>
    </w:tbl>
    <w:p>
      <w:pPr>
        <w:pStyle w:val="Heading1"/>
        <w:pBdr>
          <w:bottom w:val="single" w:color="1F3864" w:sz="12" w:space="4"/>
        </w:pBdr>
        <w:spacing w:after="180" w:before="420"/>
      </w:pPr>
      <w:r>
        <w:rPr>
          <w:b/>
          <w:bCs/>
          <w:color w:val="1F3864"/>
          <w:sz w:val="28"/>
          <w:szCs w:val="28"/>
        </w:rPr>
        <w:t xml:space="preserve">6. Delivery Methodology — CRISP-DM, SMART &amp; Agile</w:t>
      </w:r>
    </w:p>
    <w:p>
      <w:pPr>
        <w:spacing w:after="110"/>
      </w:pPr>
      <w:r>
        <w:rPr>
          <w:sz w:val="20"/>
          <w:szCs w:val="20"/>
        </w:rPr>
        <w:t xml:space="preserve">The 6-Stage Notebook Lifecycle above is not a bespoke process invented for this suite — it is this suite's concrete implementation of three established, industry-standard methodologies, made explicit here so the suite is auditable against named external frameworks, not just its own internal SOP. Each Mega Project's own application of all three — its SMART objective, the CRISP-DM phase it has reached, and its Agile sprint status — is stated together in Section 11, so a reader sees all three lenses per Mega Project in one place, not scattered across the document.</w:t>
      </w:r>
    </w:p>
    <w:p>
      <w:pPr>
        <w:pStyle w:val="Heading2"/>
        <w:spacing w:after="100" w:before="240"/>
      </w:pPr>
      <w:r>
        <w:rPr>
          <w:b/>
          <w:bCs/>
          <w:color w:val="B8860B"/>
          <w:sz w:val="22"/>
          <w:szCs w:val="22"/>
        </w:rPr>
        <w:t xml:space="preserve">CRISP-DM (Cross-Industry Standard Process for Data Mining)</w:t>
      </w:r>
    </w:p>
    <w:p>
      <w:pPr>
        <w:spacing w:after="110"/>
      </w:pPr>
      <w:r>
        <w:rPr>
          <w:sz w:val="20"/>
          <w:szCs w:val="20"/>
        </w:rPr>
        <w:t xml:space="preserve">Every notebook's six SOP stages map directly onto CRISP-DM's six canonical phases — Deployment is deliberately split across SOP Stages 5–6 because a production-grade deliverable needs both the financial-impact packaging and the governance artifacts before it can be called deployed.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900"/>
        <w:gridCol w:w="6260"/>
      </w:tblGrid>
      <w:tr>
        <w:tc>
          <w:tcPr>
            <w:tcW w:type="dxa" w:w="2900"/>
            <w:shd w:fill="1F3864" w:val="clear"/>
            <w:tcMar>
              <w:top w:type="dxa" w:w="60"/>
              <w:left w:type="dxa" w:w="80"/>
              <w:bottom w:type="dxa" w:w="60"/>
              <w:right w:type="dxa" w:w="80"/>
            </w:tcMar>
          </w:tcPr>
          <w:p>
            <w:r>
              <w:rPr>
                <w:b/>
                <w:bCs/>
                <w:color w:val="FFFFFF"/>
                <w:sz w:val="16"/>
                <w:szCs w:val="16"/>
              </w:rPr>
              <w:t xml:space="preserve">CRISP-DM Phase</w:t>
            </w:r>
          </w:p>
        </w:tc>
        <w:tc>
          <w:tcPr>
            <w:tcW w:type="dxa" w:w="6260"/>
            <w:shd w:fill="1F3864" w:val="clear"/>
            <w:tcMar>
              <w:top w:type="dxa" w:w="60"/>
              <w:left w:type="dxa" w:w="80"/>
              <w:bottom w:type="dxa" w:w="60"/>
              <w:right w:type="dxa" w:w="80"/>
            </w:tcMar>
          </w:tcPr>
          <w:p>
            <w:r>
              <w:rPr>
                <w:b/>
                <w:bCs/>
                <w:color w:val="FFFFFF"/>
                <w:sz w:val="16"/>
                <w:szCs w:val="16"/>
              </w:rPr>
              <w:t xml:space="preserve">Where it lives in this suite's SOP</w:t>
            </w:r>
          </w:p>
        </w:tc>
      </w:tr>
      <w:tr>
        <w:tc>
          <w:tcPr>
            <w:tcW w:type="dxa" w:w="2900"/>
            <w:tcMar>
              <w:top w:type="dxa" w:w="60"/>
              <w:left w:type="dxa" w:w="80"/>
              <w:bottom w:type="dxa" w:w="60"/>
              <w:right w:type="dxa" w:w="80"/>
            </w:tcMar>
          </w:tcPr>
          <w:p>
            <w:r>
              <w:rPr>
                <w:color w:val="222222"/>
                <w:sz w:val="16"/>
                <w:szCs w:val="16"/>
              </w:rPr>
              <w:t xml:space="preserve">Business Understanding</w:t>
            </w:r>
          </w:p>
        </w:tc>
        <w:tc>
          <w:tcPr>
            <w:tcW w:type="dxa" w:w="6260"/>
            <w:tcMar>
              <w:top w:type="dxa" w:w="60"/>
              <w:left w:type="dxa" w:w="80"/>
              <w:bottom w:type="dxa" w:w="60"/>
              <w:right w:type="dxa" w:w="80"/>
            </w:tcMar>
          </w:tcPr>
          <w:p>
            <w:r>
              <w:rPr>
                <w:color w:val="222222"/>
                <w:sz w:val="16"/>
                <w:szCs w:val="16"/>
              </w:rPr>
              <w:t xml:space="preserve">SOP Stage 1 — Business Understanding &amp; Policy</w:t>
            </w:r>
          </w:p>
        </w:tc>
      </w:tr>
      <w:tr>
        <w:tc>
          <w:tcPr>
            <w:tcW w:type="dxa" w:w="2900"/>
            <w:tcMar>
              <w:top w:type="dxa" w:w="60"/>
              <w:left w:type="dxa" w:w="80"/>
              <w:bottom w:type="dxa" w:w="60"/>
              <w:right w:type="dxa" w:w="80"/>
            </w:tcMar>
          </w:tcPr>
          <w:p>
            <w:r>
              <w:rPr>
                <w:color w:val="222222"/>
                <w:sz w:val="16"/>
                <w:szCs w:val="16"/>
              </w:rPr>
              <w:t xml:space="preserve">Data Understanding</w:t>
            </w:r>
          </w:p>
        </w:tc>
        <w:tc>
          <w:tcPr>
            <w:tcW w:type="dxa" w:w="6260"/>
            <w:tcMar>
              <w:top w:type="dxa" w:w="60"/>
              <w:left w:type="dxa" w:w="80"/>
              <w:bottom w:type="dxa" w:w="60"/>
              <w:right w:type="dxa" w:w="80"/>
            </w:tcMar>
          </w:tcPr>
          <w:p>
            <w:r>
              <w:rPr>
                <w:color w:val="222222"/>
                <w:sz w:val="16"/>
                <w:szCs w:val="16"/>
              </w:rPr>
              <w:t xml:space="preserve">SOP Stage 2 (first half) — real column-by-column verification against the Feasibility Audit before any code is written</w:t>
            </w:r>
          </w:p>
        </w:tc>
      </w:tr>
      <w:tr>
        <w:tc>
          <w:tcPr>
            <w:tcW w:type="dxa" w:w="2900"/>
            <w:tcMar>
              <w:top w:type="dxa" w:w="60"/>
              <w:left w:type="dxa" w:w="80"/>
              <w:bottom w:type="dxa" w:w="60"/>
              <w:right w:type="dxa" w:w="80"/>
            </w:tcMar>
          </w:tcPr>
          <w:p>
            <w:r>
              <w:rPr>
                <w:color w:val="222222"/>
                <w:sz w:val="16"/>
                <w:szCs w:val="16"/>
              </w:rPr>
              <w:t xml:space="preserve">Data Preparation</w:t>
            </w:r>
          </w:p>
        </w:tc>
        <w:tc>
          <w:tcPr>
            <w:tcW w:type="dxa" w:w="6260"/>
            <w:tcMar>
              <w:top w:type="dxa" w:w="60"/>
              <w:left w:type="dxa" w:w="80"/>
              <w:bottom w:type="dxa" w:w="60"/>
              <w:right w:type="dxa" w:w="80"/>
            </w:tcMar>
          </w:tcPr>
          <w:p>
            <w:r>
              <w:rPr>
                <w:color w:val="222222"/>
                <w:sz w:val="16"/>
                <w:szCs w:val="16"/>
              </w:rPr>
              <w:t xml:space="preserve">SOP Stage 2 (second half) — WARP-vectorized feature engineering, the shared src/features/ module</w:t>
            </w:r>
          </w:p>
        </w:tc>
      </w:tr>
      <w:tr>
        <w:tc>
          <w:tcPr>
            <w:tcW w:type="dxa" w:w="2900"/>
            <w:tcMar>
              <w:top w:type="dxa" w:w="60"/>
              <w:left w:type="dxa" w:w="80"/>
              <w:bottom w:type="dxa" w:w="60"/>
              <w:right w:type="dxa" w:w="80"/>
            </w:tcMar>
          </w:tcPr>
          <w:p>
            <w:r>
              <w:rPr>
                <w:color w:val="222222"/>
                <w:sz w:val="16"/>
                <w:szCs w:val="16"/>
              </w:rPr>
              <w:t xml:space="preserve">Modeling</w:t>
            </w:r>
          </w:p>
        </w:tc>
        <w:tc>
          <w:tcPr>
            <w:tcW w:type="dxa" w:w="6260"/>
            <w:tcMar>
              <w:top w:type="dxa" w:w="60"/>
              <w:left w:type="dxa" w:w="80"/>
              <w:bottom w:type="dxa" w:w="60"/>
              <w:right w:type="dxa" w:w="80"/>
            </w:tcMar>
          </w:tcPr>
          <w:p>
            <w:r>
              <w:rPr>
                <w:color w:val="222222"/>
                <w:sz w:val="16"/>
                <w:szCs w:val="16"/>
              </w:rPr>
              <w:t xml:space="preserve">SOP Stage 3 — 6-model benchmark, champion selection by mean CV metric</w:t>
            </w:r>
          </w:p>
        </w:tc>
      </w:tr>
      <w:tr>
        <w:tc>
          <w:tcPr>
            <w:tcW w:type="dxa" w:w="2900"/>
            <w:tcMar>
              <w:top w:type="dxa" w:w="60"/>
              <w:left w:type="dxa" w:w="80"/>
              <w:bottom w:type="dxa" w:w="60"/>
              <w:right w:type="dxa" w:w="80"/>
            </w:tcMar>
          </w:tcPr>
          <w:p>
            <w:r>
              <w:rPr>
                <w:color w:val="222222"/>
                <w:sz w:val="16"/>
                <w:szCs w:val="16"/>
              </w:rPr>
              <w:t xml:space="preserve">Evaluation</w:t>
            </w:r>
          </w:p>
        </w:tc>
        <w:tc>
          <w:tcPr>
            <w:tcW w:type="dxa" w:w="6260"/>
            <w:tcMar>
              <w:top w:type="dxa" w:w="60"/>
              <w:left w:type="dxa" w:w="80"/>
              <w:bottom w:type="dxa" w:w="60"/>
              <w:right w:type="dxa" w:w="80"/>
            </w:tcMar>
          </w:tcPr>
          <w:p>
            <w:r>
              <w:rPr>
                <w:color w:val="222222"/>
                <w:sz w:val="16"/>
                <w:szCs w:val="16"/>
              </w:rPr>
              <w:t xml:space="preserve">SOP Stage 4 — bootstrap CI, calibration, PSI stability, integrity self-checks</w:t>
            </w:r>
          </w:p>
        </w:tc>
      </w:tr>
      <w:tr>
        <w:tc>
          <w:tcPr>
            <w:tcW w:type="dxa" w:w="2900"/>
            <w:tcMar>
              <w:top w:type="dxa" w:w="60"/>
              <w:left w:type="dxa" w:w="80"/>
              <w:bottom w:type="dxa" w:w="60"/>
              <w:right w:type="dxa" w:w="80"/>
            </w:tcMar>
          </w:tcPr>
          <w:p>
            <w:r>
              <w:rPr>
                <w:color w:val="222222"/>
                <w:sz w:val="16"/>
                <w:szCs w:val="16"/>
              </w:rPr>
              <w:t xml:space="preserve">Deployment</w:t>
            </w:r>
          </w:p>
        </w:tc>
        <w:tc>
          <w:tcPr>
            <w:tcW w:type="dxa" w:w="6260"/>
            <w:tcMar>
              <w:top w:type="dxa" w:w="60"/>
              <w:left w:type="dxa" w:w="80"/>
              <w:bottom w:type="dxa" w:w="60"/>
              <w:right w:type="dxa" w:w="80"/>
            </w:tcMar>
          </w:tcPr>
          <w:p>
            <w:r>
              <w:rPr>
                <w:color w:val="222222"/>
                <w:sz w:val="16"/>
                <w:szCs w:val="16"/>
              </w:rPr>
              <w:t xml:space="preserve">SOP Stages 5–6 — financial-impact packaging, then production packaging &amp; governance (Evidence Ledger row)</w:t>
            </w:r>
          </w:p>
        </w:tc>
      </w:tr>
    </w:tbl>
    <w:p>
      <w:pPr>
        <w:pStyle w:val="Heading2"/>
        <w:spacing w:after="100" w:before="240"/>
      </w:pPr>
      <w:r>
        <w:rPr>
          <w:b/>
          <w:bCs/>
          <w:color w:val="B8860B"/>
          <w:sz w:val="22"/>
          <w:szCs w:val="22"/>
        </w:rPr>
        <w:t xml:space="preserve">SMART Objectives</w:t>
      </w:r>
    </w:p>
    <w:p>
      <w:pPr>
        <w:spacing w:after="110"/>
      </w:pPr>
      <w:r>
        <w:rPr>
          <w:sz w:val="20"/>
          <w:szCs w:val="20"/>
        </w:rPr>
        <w:t xml:space="preserve">Each Mega Project's objective is written to be Specific, Measurable, Achievable, Relevant, and Time-bound — not a vague aspiration. All five objectives are stated in full in Section 11, alongside that Mega Project's CRISP-DM phase and Agile sprint status.</w:t>
      </w:r>
    </w:p>
    <w:p>
      <w:pPr>
        <w:pStyle w:val="Heading2"/>
        <w:spacing w:after="100" w:before="240"/>
      </w:pPr>
      <w:r>
        <w:rPr>
          <w:b/>
          <w:bCs/>
          <w:color w:val="B8860B"/>
          <w:sz w:val="22"/>
          <w:szCs w:val="22"/>
        </w:rPr>
        <w:t xml:space="preserve">Agile Execution Model</w:t>
      </w:r>
    </w:p>
    <w:p>
      <w:pPr>
        <w:spacing w:after="110"/>
      </w:pPr>
      <w:r>
        <w:rPr>
          <w:sz w:val="20"/>
          <w:szCs w:val="20"/>
        </w:rPr>
        <w:t xml:space="preserve">The suite itself is built Agile — iterative, verified increments, not a single big-bang delivery. Standard Scrum artifacts map onto this project's real mechanisms as follows:</w:t>
      </w:r>
    </w:p>
    <w:p>
      <w:pPr>
        <w:pStyle w:val="ListParagraph"/>
        <w:numPr>
          <w:ilvl w:val="0"/>
          <w:numId w:val="2"/>
        </w:numPr>
        <w:spacing w:after="60"/>
      </w:pPr>
      <w:r>
        <w:rPr>
          <w:sz w:val="19"/>
          <w:szCs w:val="19"/>
        </w:rPr>
        <w:t xml:space="preserve">Product Backlog = the 18-problem structure itself (Section 11), tracked item-by-item in the live task list, not a static plan document</w:t>
      </w:r>
    </w:p>
    <w:p>
      <w:pPr>
        <w:pStyle w:val="ListParagraph"/>
        <w:numPr>
          <w:ilvl w:val="0"/>
          <w:numId w:val="2"/>
        </w:numPr>
        <w:spacing w:after="60"/>
      </w:pPr>
      <w:r>
        <w:rPr>
          <w:sz w:val="19"/>
          <w:szCs w:val="19"/>
        </w:rPr>
        <w:t xml:space="preserve">Sprint = one Mega Project's full notebook batch (e.g. this build's current sprint: Mega Project 1's 5 notebooks)</w:t>
      </w:r>
    </w:p>
    <w:p>
      <w:pPr>
        <w:pStyle w:val="ListParagraph"/>
        <w:numPr>
          <w:ilvl w:val="0"/>
          <w:numId w:val="2"/>
        </w:numPr>
        <w:spacing w:after="60"/>
      </w:pPr>
      <w:r>
        <w:rPr>
          <w:sz w:val="19"/>
          <w:szCs w:val="19"/>
        </w:rPr>
        <w:t xml:space="preserve">Sprint Increment = each individual notebook once it passes real Jupyter execution (0 errors) and has its outputs cleared for delivery — never a partially-working notebook</w:t>
      </w:r>
    </w:p>
    <w:p>
      <w:pPr>
        <w:pStyle w:val="ListParagraph"/>
        <w:numPr>
          <w:ilvl w:val="0"/>
          <w:numId w:val="2"/>
        </w:numPr>
        <w:spacing w:after="60"/>
      </w:pPr>
      <w:r>
        <w:rPr>
          <w:sz w:val="19"/>
          <w:szCs w:val="19"/>
        </w:rPr>
        <w:t xml:space="preserve">Definition of Done = SOP Stage 6 exit criteria (Section 5) plus a real Evidence Ledger row (Section 12) — matches Scrum's requirement that “done” means shippable, not “mostly working”</w:t>
      </w:r>
    </w:p>
    <w:p>
      <w:pPr>
        <w:pStyle w:val="ListParagraph"/>
        <w:numPr>
          <w:ilvl w:val="0"/>
          <w:numId w:val="2"/>
        </w:numPr>
        <w:spacing w:after="60"/>
      </w:pPr>
      <w:r>
        <w:rPr>
          <w:sz w:val="19"/>
          <w:szCs w:val="19"/>
        </w:rPr>
        <w:t xml:space="preserve">Sprint Review = the Evidence Ledger update performed at the end of each Mega Project, before the next one starts</w:t>
      </w:r>
    </w:p>
    <w:p>
      <w:pPr>
        <w:pStyle w:val="ListParagraph"/>
        <w:numPr>
          <w:ilvl w:val="0"/>
          <w:numId w:val="2"/>
        </w:numPr>
        <w:spacing w:after="60"/>
      </w:pPr>
      <w:r>
        <w:rPr>
          <w:sz w:val="19"/>
          <w:szCs w:val="19"/>
        </w:rPr>
        <w:t xml:space="preserve">Sprint Retrospective = the AMEX Gap Register (Section 3) and its Refinements (Section 4) — real lessons from the prior sprint (the AMEX build) applied as standing process changes here, exactly as a retrospective is meant to work</w:t>
      </w:r>
    </w:p>
    <w:p>
      <w:pPr>
        <w:pBdr>
          <w:left w:val="single" w:color="8A6D00" w:sz="16" w:space="8"/>
        </w:pBdr>
        <w:shd w:fill="FFF3CD" w:val="clear"/>
        <w:spacing w:after="140"/>
      </w:pPr>
      <w:r>
        <w:rPr>
          <w:color w:val="3A2F00"/>
          <w:sz w:val="19"/>
          <w:szCs w:val="19"/>
        </w:rPr>
        <w:t xml:space="preserve">This is disclosed as a solo-practitioner Agile adaptation (no separate Scrum Master/Product Owner roles, no ceremony calendar) — the artifacts and cadence are real and followed, not a role-play of a team that does not exist.</w:t>
      </w:r>
    </w:p>
    <w:p>
      <w:pPr>
        <w:pStyle w:val="Heading1"/>
        <w:pBdr>
          <w:bottom w:val="single" w:color="1F3864" w:sz="12" w:space="4"/>
        </w:pBdr>
        <w:spacing w:after="180" w:before="420"/>
      </w:pPr>
      <w:r>
        <w:rPr>
          <w:b/>
          <w:bCs/>
          <w:color w:val="1F3864"/>
          <w:sz w:val="28"/>
          <w:szCs w:val="28"/>
        </w:rPr>
        <w:t xml:space="preserve">7. WARP — Standing Code-Optimization Standard</w:t>
      </w:r>
    </w:p>
    <w:p>
      <w:pPr>
        <w:spacing w:after="110"/>
      </w:pPr>
      <w:r>
        <w:rPr>
          <w:sz w:val="20"/>
          <w:szCs w:val="20"/>
        </w:rPr>
        <w:t xml:space="preserve">Applied identically to every notebook in this suite (the same standard already governing the AMEX platform):</w:t>
      </w:r>
    </w:p>
    <w:p>
      <w:pPr>
        <w:pStyle w:val="ListParagraph"/>
        <w:numPr>
          <w:ilvl w:val="0"/>
          <w:numId w:val="2"/>
        </w:numPr>
        <w:spacing w:after="60"/>
      </w:pPr>
      <w:r>
        <w:rPr>
          <w:sz w:val="19"/>
          <w:szCs w:val="19"/>
        </w:rPr>
        <w:t xml:space="preserve">Vectorization and zero-copy I/O throughout — Polars for all data-scale operations, never Python-level row loops</w:t>
      </w:r>
    </w:p>
    <w:p>
      <w:pPr>
        <w:pStyle w:val="ListParagraph"/>
        <w:numPr>
          <w:ilvl w:val="0"/>
          <w:numId w:val="2"/>
        </w:numPr>
        <w:spacing w:after="60"/>
      </w:pPr>
      <w:r>
        <w:rPr>
          <w:sz w:val="19"/>
          <w:szCs w:val="19"/>
        </w:rPr>
        <w:t xml:space="preserve">category/float32 dtypes over defaults; Parquet over CSV for any intermediate reused data</w:t>
      </w:r>
    </w:p>
    <w:p>
      <w:pPr>
        <w:pStyle w:val="ListParagraph"/>
        <w:numPr>
          <w:ilvl w:val="0"/>
          <w:numId w:val="2"/>
        </w:numPr>
        <w:spacing w:after="60"/>
      </w:pPr>
      <w:r>
        <w:rPr>
          <w:sz w:val="19"/>
          <w:szCs w:val="19"/>
        </w:rPr>
        <w:t xml:space="preserve">Numba @njit(parallel=True) for any loop that genuinely cannot be vectorized</w:t>
      </w:r>
    </w:p>
    <w:p>
      <w:pPr>
        <w:pStyle w:val="ListParagraph"/>
        <w:numPr>
          <w:ilvl w:val="0"/>
          <w:numId w:val="2"/>
        </w:numPr>
        <w:spacing w:after="60"/>
      </w:pPr>
      <w:r>
        <w:rPr>
          <w:sz w:val="19"/>
          <w:szCs w:val="19"/>
        </w:rPr>
        <w:t xml:space="preserve">Resource ceilings: max 90% RAM, max 95% CPU threads — never 100% (a hard incident on a prior project was a full machine hang at 100%)</w:t>
      </w:r>
    </w:p>
    <w:p>
      <w:pPr>
        <w:pStyle w:val="ListParagraph"/>
        <w:numPr>
          <w:ilvl w:val="0"/>
          <w:numId w:val="2"/>
        </w:numPr>
        <w:spacing w:after="60"/>
      </w:pPr>
      <w:r>
        <w:rPr>
          <w:sz w:val="19"/>
          <w:szCs w:val="19"/>
        </w:rPr>
        <w:t xml:space="preserve">Reused (not recreated) thread/process pools; psutil core-affinity pinning where beneficial</w:t>
      </w:r>
    </w:p>
    <w:p>
      <w:pPr>
        <w:pStyle w:val="ListParagraph"/>
        <w:numPr>
          <w:ilvl w:val="0"/>
          <w:numId w:val="2"/>
        </w:numPr>
        <w:spacing w:after="60"/>
      </w:pPr>
      <w:r>
        <w:rPr>
          <w:sz w:val="19"/>
          <w:szCs w:val="19"/>
        </w:rPr>
        <w:t xml:space="preserve">Report generation: batched python-docx writes, matplotlib figures rendered once and reused, vectorized openpyxl/pandas Excel writes</w:t>
      </w:r>
    </w:p>
    <w:p>
      <w:pPr>
        <w:pStyle w:val="Heading1"/>
        <w:pBdr>
          <w:bottom w:val="single" w:color="1F3864" w:sz="12" w:space="4"/>
        </w:pBdr>
        <w:spacing w:after="180" w:before="420"/>
      </w:pPr>
      <w:r>
        <w:rPr>
          <w:b/>
          <w:bCs/>
          <w:color w:val="1F3864"/>
          <w:sz w:val="28"/>
          <w:szCs w:val="28"/>
        </w:rPr>
        <w:t xml:space="preserve">8. HYPER — Standing Delivery-Speed Standard</w:t>
      </w:r>
    </w:p>
    <w:p>
      <w:pPr>
        <w:spacing w:after="110"/>
      </w:pPr>
      <w:r>
        <w:rPr>
          <w:sz w:val="20"/>
          <w:szCs w:val="20"/>
        </w:rPr>
        <w:t xml:space="preserve">Applied to how the suite itself gets built, kept deliberately separate from WARP (runtime speed):</w:t>
      </w:r>
    </w:p>
    <w:p>
      <w:pPr>
        <w:pStyle w:val="ListParagraph"/>
        <w:numPr>
          <w:ilvl w:val="0"/>
          <w:numId w:val="2"/>
        </w:numPr>
        <w:spacing w:after="60"/>
      </w:pPr>
      <w:r>
        <w:rPr>
          <w:sz w:val="19"/>
          <w:szCs w:val="19"/>
        </w:rPr>
        <w:t xml:space="preserve">One master notebook template cloned per problem instead of written from scratch; one shared Dockerfile/CI workflow/Makefile reused across problems</w:t>
      </w:r>
    </w:p>
    <w:p>
      <w:pPr>
        <w:pStyle w:val="ListParagraph"/>
        <w:numPr>
          <w:ilvl w:val="0"/>
          <w:numId w:val="2"/>
        </w:numPr>
        <w:spacing w:after="60"/>
      </w:pPr>
      <w:r>
        <w:rPr>
          <w:sz w:val="19"/>
          <w:szCs w:val="19"/>
        </w:rPr>
        <w:t xml:space="preserve">Notebook-writing, infra, and API/testing run as parallel work streams, not sequential</w:t>
      </w:r>
    </w:p>
    <w:p>
      <w:pPr>
        <w:pStyle w:val="ListParagraph"/>
        <w:numPr>
          <w:ilvl w:val="0"/>
          <w:numId w:val="2"/>
        </w:numPr>
        <w:spacing w:after="60"/>
      </w:pPr>
      <w:r>
        <w:rPr>
          <w:sz w:val="19"/>
          <w:szCs w:val="19"/>
        </w:rPr>
        <w:t xml:space="preserve">Config-driven, parametric structure over hand-copied duplicates; a shared src/ component library built once and imported everywhere (Refinement 5)</w:t>
      </w:r>
    </w:p>
    <w:p>
      <w:pPr>
        <w:pStyle w:val="ListParagraph"/>
        <w:numPr>
          <w:ilvl w:val="0"/>
          <w:numId w:val="2"/>
        </w:numPr>
        <w:spacing w:after="60"/>
      </w:pPr>
      <w:r>
        <w:rPr>
          <w:sz w:val="19"/>
          <w:szCs w:val="19"/>
        </w:rPr>
        <w:t xml:space="preserve">Auto-generated docs from docstrings; pre-commit hooks (black/flake8/isort/mypy) rejecting bad commits before push; parallel CI test jobs</w:t>
      </w:r>
    </w:p>
    <w:p>
      <w:pPr>
        <w:pBdr>
          <w:left w:val="single" w:color="8A6D00" w:sz="16" w:space="8"/>
        </w:pBdr>
        <w:shd w:fill="FFF3CD" w:val="clear"/>
        <w:spacing w:after="140"/>
      </w:pPr>
      <w:r>
        <w:rPr>
          <w:color w:val="3A2F00"/>
          <w:sz w:val="19"/>
          <w:szCs w:val="19"/>
        </w:rPr>
        <w:t xml:space="preserve">Two exceptions carried over from AMEX and still in force: smoke-testing-only is never substituted for full test coverage on this suite, and no unverified CLI scaffolding tool is used without confirming it is real and installable.</w:t>
      </w:r>
    </w:p>
    <w:p>
      <w:r>
        <w:br w:type="page"/>
      </w:r>
    </w:p>
    <w:p>
      <w:pPr>
        <w:pStyle w:val="Heading1"/>
        <w:pBdr>
          <w:bottom w:val="single" w:color="1F3864" w:sz="12" w:space="4"/>
        </w:pBdr>
        <w:spacing w:after="180" w:before="420"/>
      </w:pPr>
      <w:r>
        <w:rPr>
          <w:b/>
          <w:bCs/>
          <w:color w:val="1F3864"/>
          <w:sz w:val="28"/>
          <w:szCs w:val="28"/>
        </w:rPr>
        <w:t xml:space="preserve">9. Regulatory &amp; Compliance Framework</w:t>
      </w:r>
    </w:p>
    <w:p>
      <w:pPr>
        <w:spacing w:after="110"/>
      </w:pPr>
      <w:r>
        <w:rPr>
          <w:sz w:val="20"/>
          <w:szCs w:val="20"/>
        </w:rPr>
        <w:t xml:space="preserve">A package aimed at global top-tier financial institutions must be built against named regulatory frameworks, not generic “best practice.” Each framework below is mapped to the specific Mega Project(s) it governs, within this suite's 100%-real-data-native committed scope.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060"/>
      </w:tblGrid>
      <w:tr>
        <w:tc>
          <w:tcPr>
            <w:tcW w:type="dxa" w:w="3400"/>
            <w:shd w:fill="1F3864" w:val="clear"/>
            <w:tcMar>
              <w:top w:type="dxa" w:w="60"/>
              <w:left w:type="dxa" w:w="80"/>
              <w:bottom w:type="dxa" w:w="60"/>
              <w:right w:type="dxa" w:w="80"/>
            </w:tcMar>
          </w:tcPr>
          <w:p>
            <w:r>
              <w:rPr>
                <w:b/>
                <w:bCs/>
                <w:color w:val="FFFFFF"/>
                <w:sz w:val="16"/>
                <w:szCs w:val="16"/>
              </w:rPr>
              <w:t xml:space="preserve">Framework</w:t>
            </w:r>
          </w:p>
        </w:tc>
        <w:tc>
          <w:tcPr>
            <w:tcW w:type="dxa" w:w="2700"/>
            <w:shd w:fill="1F3864" w:val="clear"/>
            <w:tcMar>
              <w:top w:type="dxa" w:w="60"/>
              <w:left w:type="dxa" w:w="80"/>
              <w:bottom w:type="dxa" w:w="60"/>
              <w:right w:type="dxa" w:w="80"/>
            </w:tcMar>
          </w:tcPr>
          <w:p>
            <w:r>
              <w:rPr>
                <w:b/>
                <w:bCs/>
                <w:color w:val="FFFFFF"/>
                <w:sz w:val="16"/>
                <w:szCs w:val="16"/>
              </w:rPr>
              <w:t xml:space="preserve">Governs</w:t>
            </w:r>
          </w:p>
        </w:tc>
        <w:tc>
          <w:tcPr>
            <w:tcW w:type="dxa" w:w="3060"/>
            <w:shd w:fill="1F3864" w:val="clear"/>
            <w:tcMar>
              <w:top w:type="dxa" w:w="60"/>
              <w:left w:type="dxa" w:w="80"/>
              <w:bottom w:type="dxa" w:w="60"/>
              <w:right w:type="dxa" w:w="80"/>
            </w:tcMar>
          </w:tcPr>
          <w:p>
            <w:r>
              <w:rPr>
                <w:b/>
                <w:bCs/>
                <w:color w:val="FFFFFF"/>
                <w:sz w:val="16"/>
                <w:szCs w:val="16"/>
              </w:rPr>
              <w:t xml:space="preserve">How it is implemented here</w:t>
            </w:r>
          </w:p>
        </w:tc>
      </w:tr>
      <w:tr>
        <w:tc>
          <w:tcPr>
            <w:tcW w:type="dxa" w:w="3400"/>
            <w:tcMar>
              <w:top w:type="dxa" w:w="60"/>
              <w:left w:type="dxa" w:w="80"/>
              <w:bottom w:type="dxa" w:w="60"/>
              <w:right w:type="dxa" w:w="80"/>
            </w:tcMar>
          </w:tcPr>
          <w:p>
            <w:r>
              <w:rPr>
                <w:color w:val="222222"/>
                <w:sz w:val="16"/>
                <w:szCs w:val="16"/>
              </w:rPr>
              <w:t xml:space="preserve">IFRS 9 / CECL-style delinquency-staging concept (staging only — no invented loss provisioning)</w:t>
            </w:r>
          </w:p>
        </w:tc>
        <w:tc>
          <w:tcPr>
            <w:tcW w:type="dxa" w:w="2700"/>
            <w:tcMar>
              <w:top w:type="dxa" w:w="60"/>
              <w:left w:type="dxa" w:w="80"/>
              <w:bottom w:type="dxa" w:w="60"/>
              <w:right w:type="dxa" w:w="80"/>
            </w:tcMar>
          </w:tcPr>
          <w:p>
            <w:r>
              <w:rPr>
                <w:color w:val="222222"/>
                <w:sz w:val="16"/>
                <w:szCs w:val="16"/>
              </w:rPr>
              <w:t xml:space="preserve">Mega Project 3 — Delinquency Mitigation (Problem 19: Delinquency Escalation Prediction)</w:t>
            </w:r>
          </w:p>
        </w:tc>
        <w:tc>
          <w:tcPr>
            <w:tcW w:type="dxa" w:w="3060"/>
            <w:tcMar>
              <w:top w:type="dxa" w:w="60"/>
              <w:left w:type="dxa" w:w="80"/>
              <w:bottom w:type="dxa" w:w="60"/>
              <w:right w:type="dxa" w:w="80"/>
            </w:tcMar>
          </w:tcPr>
          <w:p>
            <w:r>
              <w:rPr>
                <w:color w:val="222222"/>
                <w:sz w:val="16"/>
                <w:szCs w:val="16"/>
              </w:rPr>
              <w:t xml:space="preserve">Real delinquency-stage transitions derived from real bureau/previous-application payment-status and days-overdue fields — no dollar loss-provisioning amount is computed, since that would require LGD/EAD assumptions outside this suite's committed scope</w:t>
            </w:r>
          </w:p>
        </w:tc>
      </w:tr>
      <w:tr>
        <w:tc>
          <w:tcPr>
            <w:tcW w:type="dxa" w:w="3400"/>
            <w:tcMar>
              <w:top w:type="dxa" w:w="60"/>
              <w:left w:type="dxa" w:w="80"/>
              <w:bottom w:type="dxa" w:w="60"/>
              <w:right w:type="dxa" w:w="80"/>
            </w:tcMar>
          </w:tcPr>
          <w:p>
            <w:r>
              <w:rPr>
                <w:color w:val="222222"/>
                <w:sz w:val="16"/>
                <w:szCs w:val="16"/>
              </w:rPr>
              <w:t xml:space="preserve">SR 11-7 — Model Risk Management</w:t>
            </w:r>
          </w:p>
        </w:tc>
        <w:tc>
          <w:tcPr>
            <w:tcW w:type="dxa" w:w="2700"/>
            <w:tcMar>
              <w:top w:type="dxa" w:w="60"/>
              <w:left w:type="dxa" w:w="80"/>
              <w:bottom w:type="dxa" w:w="60"/>
              <w:right w:type="dxa" w:w="80"/>
            </w:tcMar>
          </w:tcPr>
          <w:p>
            <w:r>
              <w:rPr>
                <w:color w:val="222222"/>
                <w:sz w:val="16"/>
                <w:szCs w:val="16"/>
              </w:rPr>
              <w:t xml:space="preserve">All 18 committed problems</w:t>
            </w:r>
          </w:p>
        </w:tc>
        <w:tc>
          <w:tcPr>
            <w:tcW w:type="dxa" w:w="3060"/>
            <w:tcMar>
              <w:top w:type="dxa" w:w="60"/>
              <w:left w:type="dxa" w:w="80"/>
              <w:bottom w:type="dxa" w:w="60"/>
              <w:right w:type="dxa" w:w="80"/>
            </w:tcMar>
          </w:tcPr>
          <w:p>
            <w:r>
              <w:rPr>
                <w:color w:val="222222"/>
                <w:sz w:val="16"/>
                <w:szCs w:val="16"/>
              </w:rPr>
              <w:t xml:space="preserve">Independent-style validation baked into SOP Stage 4 (bootstrap CI, calibration, PSI), MODEL_CARD.md per problem, versioned artifacts, no model marked production-ready without documented validation evidence</w:t>
            </w:r>
          </w:p>
        </w:tc>
      </w:tr>
      <w:tr>
        <w:tc>
          <w:tcPr>
            <w:tcW w:type="dxa" w:w="3400"/>
            <w:tcMar>
              <w:top w:type="dxa" w:w="60"/>
              <w:left w:type="dxa" w:w="80"/>
              <w:bottom w:type="dxa" w:w="60"/>
              <w:right w:type="dxa" w:w="80"/>
            </w:tcMar>
          </w:tcPr>
          <w:p>
            <w:r>
              <w:rPr>
                <w:color w:val="222222"/>
                <w:sz w:val="16"/>
                <w:szCs w:val="16"/>
              </w:rPr>
              <w:t xml:space="preserve">ECOA / Regulation B &amp; FCRA — Fair Lending and Adverse Action</w:t>
            </w:r>
          </w:p>
        </w:tc>
        <w:tc>
          <w:tcPr>
            <w:tcW w:type="dxa" w:w="2700"/>
            <w:tcMar>
              <w:top w:type="dxa" w:w="60"/>
              <w:left w:type="dxa" w:w="80"/>
              <w:bottom w:type="dxa" w:w="60"/>
              <w:right w:type="dxa" w:w="80"/>
            </w:tcMar>
          </w:tcPr>
          <w:p>
            <w:r>
              <w:rPr>
                <w:color w:val="222222"/>
                <w:sz w:val="16"/>
                <w:szCs w:val="16"/>
              </w:rPr>
              <w:t xml:space="preserve">Mega Project 2 (Risk Segmentation) and Mega Project 1 (Underwriting &amp; Approval), wherever CODE_GENDER, age, or family status are candidate features</w:t>
            </w:r>
          </w:p>
        </w:tc>
        <w:tc>
          <w:tcPr>
            <w:tcW w:type="dxa" w:w="3060"/>
            <w:tcMar>
              <w:top w:type="dxa" w:w="60"/>
              <w:left w:type="dxa" w:w="80"/>
              <w:bottom w:type="dxa" w:w="60"/>
              <w:right w:type="dxa" w:w="80"/>
            </w:tcMar>
          </w:tcPr>
          <w:p>
            <w:r>
              <w:rPr>
                <w:color w:val="222222"/>
                <w:sz w:val="16"/>
                <w:szCs w:val="16"/>
              </w:rPr>
              <w:t xml:space="preserve">Disparate-impact ratio testing (e.g. adverse-impact ratio by protected group) run on every model using demographic fields before deployment sign-off; adverse-action reason codes generated from real feature contributions, not invented text</w:t>
            </w:r>
          </w:p>
        </w:tc>
      </w:tr>
      <w:tr>
        <w:tc>
          <w:tcPr>
            <w:tcW w:type="dxa" w:w="3400"/>
            <w:tcMar>
              <w:top w:type="dxa" w:w="60"/>
              <w:left w:type="dxa" w:w="80"/>
              <w:bottom w:type="dxa" w:w="60"/>
              <w:right w:type="dxa" w:w="80"/>
            </w:tcMar>
          </w:tcPr>
          <w:p>
            <w:r>
              <w:rPr>
                <w:color w:val="222222"/>
                <w:sz w:val="16"/>
                <w:szCs w:val="16"/>
              </w:rPr>
              <w:t xml:space="preserve">GDPR-aligned data handling</w:t>
            </w:r>
          </w:p>
        </w:tc>
        <w:tc>
          <w:tcPr>
            <w:tcW w:type="dxa" w:w="2700"/>
            <w:tcMar>
              <w:top w:type="dxa" w:w="60"/>
              <w:left w:type="dxa" w:w="80"/>
              <w:bottom w:type="dxa" w:w="60"/>
              <w:right w:type="dxa" w:w="80"/>
            </w:tcMar>
          </w:tcPr>
          <w:p>
            <w:r>
              <w:rPr>
                <w:color w:val="222222"/>
                <w:sz w:val="16"/>
                <w:szCs w:val="16"/>
              </w:rPr>
              <w:t xml:space="preserve">All 18 committed problems</w:t>
            </w:r>
          </w:p>
        </w:tc>
        <w:tc>
          <w:tcPr>
            <w:tcW w:type="dxa" w:w="3060"/>
            <w:tcMar>
              <w:top w:type="dxa" w:w="60"/>
              <w:left w:type="dxa" w:w="80"/>
              <w:bottom w:type="dxa" w:w="60"/>
              <w:right w:type="dxa" w:w="80"/>
            </w:tcMar>
          </w:tcPr>
          <w:p>
            <w:r>
              <w:rPr>
                <w:color w:val="222222"/>
                <w:sz w:val="16"/>
                <w:szCs w:val="16"/>
              </w:rPr>
              <w:t xml:space="preserve">Customer identifiers (SK_ID_CURR) are already hashed/recoded in the source Kaggle data; no re-identification attempted; raw data folder is .gitignored, never committed to the public repo</w:t>
            </w:r>
          </w:p>
        </w:tc>
      </w:tr>
    </w:tbl>
    <w:p>
      <w:pPr>
        <w:pBdr>
          <w:left w:val="single" w:color="8A6D00" w:sz="16" w:space="8"/>
        </w:pBdr>
        <w:shd w:fill="FFF3CD" w:val="clear"/>
        <w:spacing w:after="140"/>
      </w:pPr>
      <w:r>
        <w:rPr>
          <w:color w:val="3A2F00"/>
          <w:sz w:val="19"/>
          <w:szCs w:val="19"/>
        </w:rPr>
        <w:t xml:space="preserve">Basel III/IV Risk-Weighted Assets and Economic Capital / Unexpected Loss modeling are intentionally out of this suite's committed scope (Section 1) — both require regulatory-capital assumptions (LGD, EAD, correlation, discount rates) beyond what a single real-data-native retail-lending dataset can support end-to-end. A future, explicitly assumption-driven module could revisit them if wanted.</w:t>
      </w:r>
    </w:p>
    <w:p>
      <w:pPr>
        <w:pStyle w:val="Heading1"/>
        <w:pBdr>
          <w:bottom w:val="single" w:color="1F3864" w:sz="12" w:space="4"/>
        </w:pBdr>
        <w:spacing w:after="180" w:before="420"/>
      </w:pPr>
      <w:r>
        <w:rPr>
          <w:b/>
          <w:bCs/>
          <w:color w:val="1F3864"/>
          <w:sz w:val="28"/>
          <w:szCs w:val="28"/>
        </w:rPr>
        <w:t xml:space="preserve">10. Production-Grade Repository Architecture</w:t>
      </w:r>
    </w:p>
    <w:p>
      <w:pPr>
        <w:spacing w:after="110"/>
      </w:pPr>
      <w:r>
        <w:rPr>
          <w:sz w:val="20"/>
          <w:szCs w:val="20"/>
        </w:rPr>
        <w:t xml:space="preserve">Single monorepo home-credit-enterprise-suite (already scaffolded), extended beyond the AMEX repo's original day-one structure with governance built in from the start (Refinement 5 and 6):</w:t>
      </w:r>
    </w:p>
    <w:p>
      <w:pPr>
        <w:pStyle w:val="ListParagraph"/>
        <w:numPr>
          <w:ilvl w:val="0"/>
          <w:numId w:val="2"/>
        </w:numPr>
        <w:spacing w:after="60"/>
      </w:pPr>
      <w:r>
        <w:rPr>
          <w:sz w:val="19"/>
          <w:szCs w:val="19"/>
        </w:rPr>
        <w:t xml:space="preserve">data/{raw,processed}/ (gitignored) · docs/ · notebooks/ · src/{features,models,utils}/ (shared library, imported from Notebook 01 onward)</w:t>
      </w:r>
    </w:p>
    <w:p>
      <w:pPr>
        <w:pStyle w:val="ListParagraph"/>
        <w:numPr>
          <w:ilvl w:val="0"/>
          <w:numId w:val="2"/>
        </w:numPr>
        <w:spacing w:after="60"/>
      </w:pPr>
      <w:r>
        <w:rPr>
          <w:sz w:val="19"/>
          <w:szCs w:val="19"/>
        </w:rPr>
        <w:t xml:space="preserve">mega_project_1_.../ … mega_project_5_.../ — one folder per committed Mega Project, each with config/, a domain pipeline folder, notebooks/, decision_engine or equivalent artifacts/, README.md. Mega Project 1 (Underwriting &amp; Decisioning) was scaffolded before this restructuring under the prior 6-Mega-Project numbering, so its folder is still named mega_project_3_underwriting_approval/ — kept as-is to avoid rework on already-delivered, fixture-verified notebooks; renaming it to mega_project_1_underwriting_approval/ is available on request. The remaining four folders will be created using this plan's 1–5 numbering as each Mega Project's build begins.</w:t>
      </w:r>
    </w:p>
    <w:p>
      <w:pPr>
        <w:pStyle w:val="ListParagraph"/>
        <w:numPr>
          <w:ilvl w:val="0"/>
          <w:numId w:val="2"/>
        </w:numPr>
        <w:spacing w:after="60"/>
      </w:pPr>
      <w:r>
        <w:rPr>
          <w:sz w:val="19"/>
          <w:szCs w:val="19"/>
        </w:rPr>
        <w:t xml:space="preserve">tests/ (pytest, per-problem coverage) · .github/workflows/ (CI: lint, test, notebook-syntax-check) · requirements.txt · .gitignore (machine-specific config and raw data excluded)</w:t>
      </w:r>
    </w:p>
    <w:p>
      <w:pPr>
        <w:pStyle w:val="ListParagraph"/>
        <w:numPr>
          <w:ilvl w:val="0"/>
          <w:numId w:val="2"/>
        </w:numPr>
        <w:spacing w:after="60"/>
      </w:pPr>
      <w:r>
        <w:rPr>
          <w:sz w:val="19"/>
          <w:szCs w:val="19"/>
        </w:rPr>
        <w:t xml:space="preserve">Per-problem governance set, required before Stage 6 sign-off: MODEL_CARD.md, CHANGELOG.md, a runnable FastAPI service with a live self-test proving API output matches direct computation</w:t>
      </w:r>
    </w:p>
    <w:p>
      <w:r>
        <w:br w:type="page"/>
      </w:r>
    </w:p>
    <w:p>
      <w:pPr>
        <w:pStyle w:val="Heading1"/>
        <w:pBdr>
          <w:bottom w:val="single" w:color="1F3864" w:sz="12" w:space="4"/>
        </w:pBdr>
        <w:spacing w:after="180" w:before="420"/>
      </w:pPr>
      <w:r>
        <w:rPr>
          <w:b/>
          <w:bCs/>
          <w:color w:val="1F3864"/>
          <w:sz w:val="28"/>
          <w:szCs w:val="28"/>
        </w:rPr>
        <w:t xml:space="preserve">11. The 5 Mega Project / 18-Problem Portfolio — CRISP-DM, SMART &amp; Agile Status</w:t>
      </w:r>
    </w:p>
    <w:p>
      <w:pPr>
        <w:spacing w:after="110"/>
      </w:pPr>
      <w:r>
        <w:rPr>
          <w:sz w:val="20"/>
          <w:szCs w:val="20"/>
        </w:rPr>
        <w:t xml:space="preserve">Full column-level feasibility detail for the 18 committed problems lives in the separately delivered Data Feasibility Audit. The summary table gives a quick-glance view; each Mega Project's own detailed block below states its SMART objective, the CRISP-DM phase it has reached, and its Agile sprint status together, as requested — the three delivery-methodology lenses defined in Section 6, applied per Mega Project rather than left in one disconnected table.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300"/>
        <w:gridCol w:w="2160"/>
      </w:tblGrid>
      <w:tr>
        <w:tc>
          <w:tcPr>
            <w:tcW w:type="dxa" w:w="3200"/>
            <w:shd w:fill="1F3864" w:val="clear"/>
            <w:tcMar>
              <w:top w:type="dxa" w:w="60"/>
              <w:left w:type="dxa" w:w="80"/>
              <w:bottom w:type="dxa" w:w="60"/>
              <w:right w:type="dxa" w:w="80"/>
            </w:tcMar>
          </w:tcPr>
          <w:p>
            <w:r>
              <w:rPr>
                <w:b/>
                <w:bCs/>
                <w:color w:val="FFFFFF"/>
                <w:sz w:val="16"/>
                <w:szCs w:val="16"/>
              </w:rPr>
              <w:t xml:space="preserve">Mega Project</w:t>
            </w:r>
          </w:p>
        </w:tc>
        <w:tc>
          <w:tcPr>
            <w:tcW w:type="dxa" w:w="1500"/>
            <w:shd w:fill="1F3864" w:val="clear"/>
            <w:tcMar>
              <w:top w:type="dxa" w:w="60"/>
              <w:left w:type="dxa" w:w="80"/>
              <w:bottom w:type="dxa" w:w="60"/>
              <w:right w:type="dxa" w:w="80"/>
            </w:tcMar>
          </w:tcPr>
          <w:p>
            <w:r>
              <w:rPr>
                <w:b/>
                <w:bCs/>
                <w:color w:val="FFFFFF"/>
                <w:sz w:val="16"/>
                <w:szCs w:val="16"/>
              </w:rPr>
              <w:t xml:space="preserve">Problems</w:t>
            </w:r>
          </w:p>
        </w:tc>
        <w:tc>
          <w:tcPr>
            <w:tcW w:type="dxa" w:w="2300"/>
            <w:shd w:fill="1F3864" w:val="clear"/>
            <w:tcMar>
              <w:top w:type="dxa" w:w="60"/>
              <w:left w:type="dxa" w:w="80"/>
              <w:bottom w:type="dxa" w:w="60"/>
              <w:right w:type="dxa" w:w="80"/>
            </w:tcMar>
          </w:tcPr>
          <w:p>
            <w:r>
              <w:rPr>
                <w:b/>
                <w:bCs/>
                <w:color w:val="FFFFFF"/>
                <w:sz w:val="16"/>
                <w:szCs w:val="16"/>
              </w:rPr>
              <w:t xml:space="preserve">Data status</w:t>
            </w:r>
          </w:p>
        </w:tc>
        <w:tc>
          <w:tcPr>
            <w:tcW w:type="dxa" w:w="2160"/>
            <w:shd w:fill="1F3864" w:val="clear"/>
            <w:tcMar>
              <w:top w:type="dxa" w:w="60"/>
              <w:left w:type="dxa" w:w="80"/>
              <w:bottom w:type="dxa" w:w="60"/>
              <w:right w:type="dxa" w:w="80"/>
            </w:tcMar>
          </w:tcPr>
          <w:p>
            <w:r>
              <w:rPr>
                <w:b/>
                <w:bCs/>
                <w:color w:val="FFFFFF"/>
                <w:sz w:val="16"/>
                <w:szCs w:val="16"/>
              </w:rPr>
              <w:t xml:space="preserve">Build order / status</w:t>
            </w:r>
          </w:p>
        </w:tc>
      </w:tr>
      <w:tr>
        <w:tc>
          <w:tcPr>
            <w:tcW w:type="dxa" w:w="3200"/>
            <w:tcMar>
              <w:top w:type="dxa" w:w="60"/>
              <w:left w:type="dxa" w:w="80"/>
              <w:bottom w:type="dxa" w:w="60"/>
              <w:right w:type="dxa" w:w="80"/>
            </w:tcMar>
          </w:tcPr>
          <w:p>
            <w:r>
              <w:rPr>
                <w:color w:val="222222"/>
                <w:sz w:val="16"/>
                <w:szCs w:val="16"/>
              </w:rPr>
              <w:t xml:space="preserve">Mega Project 1 — Underwriting &amp; Decisioning</w:t>
            </w:r>
          </w:p>
        </w:tc>
        <w:tc>
          <w:tcPr>
            <w:tcW w:type="dxa" w:w="1500"/>
            <w:tcMar>
              <w:top w:type="dxa" w:w="60"/>
              <w:left w:type="dxa" w:w="80"/>
              <w:bottom w:type="dxa" w:w="60"/>
              <w:right w:type="dxa" w:w="80"/>
            </w:tcMar>
          </w:tcPr>
          <w:p>
            <w:r>
              <w:rPr>
                <w:color w:val="222222"/>
                <w:sz w:val="16"/>
                <w:szCs w:val="16"/>
              </w:rPr>
              <w:t xml:space="preserve">1, 3, 4, 11, 12</w:t>
            </w:r>
          </w:p>
        </w:tc>
        <w:tc>
          <w:tcPr>
            <w:tcW w:type="dxa" w:w="2300"/>
            <w:tcMar>
              <w:top w:type="dxa" w:w="60"/>
              <w:left w:type="dxa" w:w="80"/>
              <w:bottom w:type="dxa" w:w="60"/>
              <w:right w:type="dxa" w:w="80"/>
            </w:tcMar>
          </w:tcPr>
          <w:p>
            <w:r>
              <w:rPr>
                <w:color w:val="222222"/>
                <w:sz w:val="16"/>
                <w:szCs w:val="16"/>
              </w:rPr>
              <w:t xml:space="preserve">Real-data-native</w:t>
            </w:r>
          </w:p>
        </w:tc>
        <w:tc>
          <w:tcPr>
            <w:tcW w:type="dxa" w:w="2160"/>
            <w:tcMar>
              <w:top w:type="dxa" w:w="60"/>
              <w:left w:type="dxa" w:w="80"/>
              <w:bottom w:type="dxa" w:w="60"/>
              <w:right w:type="dxa" w:w="80"/>
            </w:tcMar>
          </w:tcPr>
          <w:p>
            <w:r>
              <w:rPr>
                <w:color w:val="222222"/>
                <w:sz w:val="16"/>
                <w:szCs w:val="16"/>
              </w:rPr>
              <w:t xml:space="preserve">1st — ALL 5 NOTEBOOKS BUILT &amp; FIXTURE-VERIFIED, pending real-run confirmation on your machine</w:t>
            </w:r>
          </w:p>
        </w:tc>
      </w:tr>
      <w:tr>
        <w:tc>
          <w:tcPr>
            <w:tcW w:type="dxa" w:w="3200"/>
            <w:tcMar>
              <w:top w:type="dxa" w:w="60"/>
              <w:left w:type="dxa" w:w="80"/>
              <w:bottom w:type="dxa" w:w="60"/>
              <w:right w:type="dxa" w:w="80"/>
            </w:tcMar>
          </w:tcPr>
          <w:p>
            <w:r>
              <w:rPr>
                <w:color w:val="222222"/>
                <w:sz w:val="16"/>
                <w:szCs w:val="16"/>
              </w:rPr>
              <w:t xml:space="preserve">Mega Project 2 — Risk Profiling &amp; Segmentation</w:t>
            </w:r>
          </w:p>
        </w:tc>
        <w:tc>
          <w:tcPr>
            <w:tcW w:type="dxa" w:w="1500"/>
            <w:tcMar>
              <w:top w:type="dxa" w:w="60"/>
              <w:left w:type="dxa" w:w="80"/>
              <w:bottom w:type="dxa" w:w="60"/>
              <w:right w:type="dxa" w:w="80"/>
            </w:tcMar>
          </w:tcPr>
          <w:p>
            <w:r>
              <w:rPr>
                <w:color w:val="222222"/>
                <w:sz w:val="16"/>
                <w:szCs w:val="16"/>
              </w:rPr>
              <w:t xml:space="preserve">2, 5, 8, 9, 10</w:t>
            </w:r>
          </w:p>
        </w:tc>
        <w:tc>
          <w:tcPr>
            <w:tcW w:type="dxa" w:w="2300"/>
            <w:tcMar>
              <w:top w:type="dxa" w:w="60"/>
              <w:left w:type="dxa" w:w="80"/>
              <w:bottom w:type="dxa" w:w="60"/>
              <w:right w:type="dxa" w:w="80"/>
            </w:tcMar>
          </w:tcPr>
          <w:p>
            <w:r>
              <w:rPr>
                <w:color w:val="222222"/>
                <w:sz w:val="16"/>
                <w:szCs w:val="16"/>
              </w:rPr>
              <w:t xml:space="preserve">Real-data-native</w:t>
            </w:r>
          </w:p>
        </w:tc>
        <w:tc>
          <w:tcPr>
            <w:tcW w:type="dxa" w:w="2160"/>
            <w:tcMar>
              <w:top w:type="dxa" w:w="60"/>
              <w:left w:type="dxa" w:w="80"/>
              <w:bottom w:type="dxa" w:w="60"/>
              <w:right w:type="dxa" w:w="80"/>
            </w:tcMar>
          </w:tcPr>
          <w:p>
            <w:r>
              <w:rPr>
                <w:color w:val="222222"/>
                <w:sz w:val="16"/>
                <w:szCs w:val="16"/>
              </w:rPr>
              <w:t xml:space="preserve">2nd — Not started</w:t>
            </w:r>
          </w:p>
        </w:tc>
      </w:tr>
      <w:tr>
        <w:tc>
          <w:tcPr>
            <w:tcW w:type="dxa" w:w="3200"/>
            <w:tcMar>
              <w:top w:type="dxa" w:w="60"/>
              <w:left w:type="dxa" w:w="80"/>
              <w:bottom w:type="dxa" w:w="60"/>
              <w:right w:type="dxa" w:w="80"/>
            </w:tcMar>
          </w:tcPr>
          <w:p>
            <w:r>
              <w:rPr>
                <w:color w:val="222222"/>
                <w:sz w:val="16"/>
                <w:szCs w:val="16"/>
              </w:rPr>
              <w:t xml:space="preserve">Mega Project 3 — Delinquency Mitigation &amp; Warning</w:t>
            </w:r>
          </w:p>
        </w:tc>
        <w:tc>
          <w:tcPr>
            <w:tcW w:type="dxa" w:w="1500"/>
            <w:tcMar>
              <w:top w:type="dxa" w:w="60"/>
              <w:left w:type="dxa" w:w="80"/>
              <w:bottom w:type="dxa" w:w="60"/>
              <w:right w:type="dxa" w:w="80"/>
            </w:tcMar>
          </w:tcPr>
          <w:p>
            <w:r>
              <w:rPr>
                <w:color w:val="222222"/>
                <w:sz w:val="16"/>
                <w:szCs w:val="16"/>
              </w:rPr>
              <w:t xml:space="preserve">6, 13, 14, 15, 19</w:t>
            </w:r>
          </w:p>
        </w:tc>
        <w:tc>
          <w:tcPr>
            <w:tcW w:type="dxa" w:w="2300"/>
            <w:tcMar>
              <w:top w:type="dxa" w:w="60"/>
              <w:left w:type="dxa" w:w="80"/>
              <w:bottom w:type="dxa" w:w="60"/>
              <w:right w:type="dxa" w:w="80"/>
            </w:tcMar>
          </w:tcPr>
          <w:p>
            <w:r>
              <w:rPr>
                <w:color w:val="222222"/>
                <w:sz w:val="16"/>
                <w:szCs w:val="16"/>
              </w:rPr>
              <w:t xml:space="preserve">Real-data-native</w:t>
            </w:r>
          </w:p>
        </w:tc>
        <w:tc>
          <w:tcPr>
            <w:tcW w:type="dxa" w:w="2160"/>
            <w:tcMar>
              <w:top w:type="dxa" w:w="60"/>
              <w:left w:type="dxa" w:w="80"/>
              <w:bottom w:type="dxa" w:w="60"/>
              <w:right w:type="dxa" w:w="80"/>
            </w:tcMar>
          </w:tcPr>
          <w:p>
            <w:r>
              <w:rPr>
                <w:color w:val="222222"/>
                <w:sz w:val="16"/>
                <w:szCs w:val="16"/>
              </w:rPr>
              <w:t xml:space="preserve">3rd — Not started</w:t>
            </w:r>
          </w:p>
        </w:tc>
      </w:tr>
      <w:tr>
        <w:tc>
          <w:tcPr>
            <w:tcW w:type="dxa" w:w="3200"/>
            <w:tcMar>
              <w:top w:type="dxa" w:w="60"/>
              <w:left w:type="dxa" w:w="80"/>
              <w:bottom w:type="dxa" w:w="60"/>
              <w:right w:type="dxa" w:w="80"/>
            </w:tcMar>
          </w:tcPr>
          <w:p>
            <w:r>
              <w:rPr>
                <w:color w:val="222222"/>
                <w:sz w:val="16"/>
                <w:szCs w:val="16"/>
              </w:rPr>
              <w:t xml:space="preserve">Mega Project 4 — Liquidity &amp; Cash Flow Analytics</w:t>
            </w:r>
          </w:p>
        </w:tc>
        <w:tc>
          <w:tcPr>
            <w:tcW w:type="dxa" w:w="1500"/>
            <w:tcMar>
              <w:top w:type="dxa" w:w="60"/>
              <w:left w:type="dxa" w:w="80"/>
              <w:bottom w:type="dxa" w:w="60"/>
              <w:right w:type="dxa" w:w="80"/>
            </w:tcMar>
          </w:tcPr>
          <w:p>
            <w:r>
              <w:rPr>
                <w:color w:val="222222"/>
                <w:sz w:val="16"/>
                <w:szCs w:val="16"/>
              </w:rPr>
              <w:t xml:space="preserve">7, 11, 14, 16, 17</w:t>
            </w:r>
          </w:p>
        </w:tc>
        <w:tc>
          <w:tcPr>
            <w:tcW w:type="dxa" w:w="2300"/>
            <w:tcMar>
              <w:top w:type="dxa" w:w="60"/>
              <w:left w:type="dxa" w:w="80"/>
              <w:bottom w:type="dxa" w:w="60"/>
              <w:right w:type="dxa" w:w="80"/>
            </w:tcMar>
          </w:tcPr>
          <w:p>
            <w:r>
              <w:rPr>
                <w:color w:val="222222"/>
                <w:sz w:val="16"/>
                <w:szCs w:val="16"/>
              </w:rPr>
              <w:t xml:space="preserve">Real-data-native</w:t>
            </w:r>
          </w:p>
        </w:tc>
        <w:tc>
          <w:tcPr>
            <w:tcW w:type="dxa" w:w="2160"/>
            <w:tcMar>
              <w:top w:type="dxa" w:w="60"/>
              <w:left w:type="dxa" w:w="80"/>
              <w:bottom w:type="dxa" w:w="60"/>
              <w:right w:type="dxa" w:w="80"/>
            </w:tcMar>
          </w:tcPr>
          <w:p>
            <w:r>
              <w:rPr>
                <w:color w:val="222222"/>
                <w:sz w:val="16"/>
                <w:szCs w:val="16"/>
              </w:rPr>
              <w:t xml:space="preserve">4th — Not started</w:t>
            </w:r>
          </w:p>
        </w:tc>
      </w:tr>
      <w:tr>
        <w:tc>
          <w:tcPr>
            <w:tcW w:type="dxa" w:w="3200"/>
            <w:tcMar>
              <w:top w:type="dxa" w:w="60"/>
              <w:left w:type="dxa" w:w="80"/>
              <w:bottom w:type="dxa" w:w="60"/>
              <w:right w:type="dxa" w:w="80"/>
            </w:tcMar>
          </w:tcPr>
          <w:p>
            <w:r>
              <w:rPr>
                <w:color w:val="222222"/>
                <w:sz w:val="16"/>
                <w:szCs w:val="16"/>
              </w:rPr>
              <w:t xml:space="preserve">Mega Project 5 — Behavioral Intelligence</w:t>
            </w:r>
          </w:p>
        </w:tc>
        <w:tc>
          <w:tcPr>
            <w:tcW w:type="dxa" w:w="1500"/>
            <w:tcMar>
              <w:top w:type="dxa" w:w="60"/>
              <w:left w:type="dxa" w:w="80"/>
              <w:bottom w:type="dxa" w:w="60"/>
              <w:right w:type="dxa" w:w="80"/>
            </w:tcMar>
          </w:tcPr>
          <w:p>
            <w:r>
              <w:rPr>
                <w:color w:val="222222"/>
                <w:sz w:val="16"/>
                <w:szCs w:val="16"/>
              </w:rPr>
              <w:t xml:space="preserve">6, 7, 13, 15, 17</w:t>
            </w:r>
          </w:p>
        </w:tc>
        <w:tc>
          <w:tcPr>
            <w:tcW w:type="dxa" w:w="2300"/>
            <w:tcMar>
              <w:top w:type="dxa" w:w="60"/>
              <w:left w:type="dxa" w:w="80"/>
              <w:bottom w:type="dxa" w:w="60"/>
              <w:right w:type="dxa" w:w="80"/>
            </w:tcMar>
          </w:tcPr>
          <w:p>
            <w:r>
              <w:rPr>
                <w:color w:val="222222"/>
                <w:sz w:val="16"/>
                <w:szCs w:val="16"/>
              </w:rPr>
              <w:t xml:space="preserve">Real-data-native</w:t>
            </w:r>
          </w:p>
        </w:tc>
        <w:tc>
          <w:tcPr>
            <w:tcW w:type="dxa" w:w="2160"/>
            <w:tcMar>
              <w:top w:type="dxa" w:w="60"/>
              <w:left w:type="dxa" w:w="80"/>
              <w:bottom w:type="dxa" w:w="60"/>
              <w:right w:type="dxa" w:w="80"/>
            </w:tcMar>
          </w:tcPr>
          <w:p>
            <w:r>
              <w:rPr>
                <w:color w:val="222222"/>
                <w:sz w:val="16"/>
                <w:szCs w:val="16"/>
              </w:rPr>
              <w:t xml:space="preserve">5th — Not started</w:t>
            </w:r>
          </w:p>
        </w:tc>
      </w:tr>
    </w:tbl>
    <w:p>
      <w:pPr>
        <w:pStyle w:val="Heading2"/>
        <w:spacing w:after="100" w:before="240"/>
      </w:pPr>
      <w:r>
        <w:rPr>
          <w:b/>
          <w:bCs/>
          <w:color w:val="B8860B"/>
          <w:sz w:val="22"/>
          <w:szCs w:val="22"/>
        </w:rPr>
        <w:t xml:space="preserve">Mega Project 1 — Underwriting &amp; Decisioning</w:t>
      </w:r>
    </w:p>
    <w:p>
      <w:pPr>
        <w:pStyle w:val="ListParagraph"/>
        <w:numPr>
          <w:ilvl w:val="0"/>
          <w:numId w:val="2"/>
        </w:numPr>
        <w:spacing w:after="60"/>
      </w:pPr>
      <w:r>
        <w:rPr>
          <w:b/>
          <w:bCs/>
          <w:sz w:val="19"/>
          <w:szCs w:val="19"/>
        </w:rPr>
        <w:t xml:space="preserve">Problems: 1, 3, 4, 11, 12 · Data status: Real-data-native · Build order: 1st of 5 · Status: ALL 5 NOTEBOOKS BUILT &amp; FIXTURE-VERIFIED, pending your real-data run</w:t>
      </w:r>
    </w:p>
    <w:p>
      <w:pPr>
        <w:pStyle w:val="ListParagraph"/>
        <w:numPr>
          <w:ilvl w:val="0"/>
          <w:numId w:val="2"/>
        </w:numPr>
        <w:spacing w:after="60"/>
      </w:pPr>
      <w:r>
        <w:rPr>
          <w:sz w:val="19"/>
          <w:szCs w:val="19"/>
        </w:rPr>
        <w:t xml:space="preserve">SMART objective: Deliver 5 real-data-verified notebooks (Problems 1/3/4/11/12) covering default prediction through decision-outcome analytics. Measurable: each notebook's real-run holdout metric and every integrity check recorded in the Evidence Ledger (Section 12). Achievable: built from the 3 files (application_train.csv, bureau.csv, previous_application.csv) already verified real. Relevant: directly enables automated credit decisioning, the suite's most foundational capability. Time-bound: sequenced 1st of 5 Mega Projects — the build is complete; your real-data run is the one remaining step.</w:t>
      </w:r>
    </w:p>
    <w:p>
      <w:pPr>
        <w:pStyle w:val="ListParagraph"/>
        <w:numPr>
          <w:ilvl w:val="0"/>
          <w:numId w:val="2"/>
        </w:numPr>
        <w:spacing w:after="60"/>
      </w:pPr>
      <w:r>
        <w:rPr>
          <w:sz w:val="19"/>
          <w:szCs w:val="19"/>
        </w:rPr>
        <w:t xml:space="preserve">CRISP-DM phase reached: Business Understanding through Evaluation complete for all 5 notebooks (fixture-verified: 0 errors on real Jupyter execution, all integrity checks passed, idempotency confirmed). Deployment (SOP Stages 5–6) packaging and governance artifacts are in place; final Deployment sign-off awaits your real-data run.</w:t>
      </w:r>
    </w:p>
    <w:p>
      <w:pPr>
        <w:pStyle w:val="ListParagraph"/>
        <w:numPr>
          <w:ilvl w:val="0"/>
          <w:numId w:val="2"/>
        </w:numPr>
        <w:spacing w:after="60"/>
      </w:pPr>
      <w:r>
        <w:rPr>
          <w:sz w:val="19"/>
          <w:szCs w:val="19"/>
        </w:rPr>
        <w:t xml:space="preserve">Agile status: Sprint 1 of 5 — Increment delivered: 5/5 notebooks passed real Jupyter execution and are ready for review. Sprint Review (Evidence Ledger update) is drafted; sign-off on this sprint, and the start of Sprint 2, awaits your real-run confirmation.</w:t>
      </w:r>
    </w:p>
    <w:p>
      <w:pPr>
        <w:pStyle w:val="Heading2"/>
        <w:spacing w:after="100" w:before="240"/>
      </w:pPr>
      <w:r>
        <w:rPr>
          <w:b/>
          <w:bCs/>
          <w:color w:val="B8860B"/>
          <w:sz w:val="22"/>
          <w:szCs w:val="22"/>
        </w:rPr>
        <w:t xml:space="preserve">Mega Project 2 — Risk Profiling &amp; Segmentation</w:t>
      </w:r>
    </w:p>
    <w:p>
      <w:pPr>
        <w:pStyle w:val="ListParagraph"/>
        <w:numPr>
          <w:ilvl w:val="0"/>
          <w:numId w:val="2"/>
        </w:numPr>
        <w:spacing w:after="60"/>
      </w:pPr>
      <w:r>
        <w:rPr>
          <w:b/>
          <w:bCs/>
          <w:sz w:val="19"/>
          <w:szCs w:val="19"/>
        </w:rPr>
        <w:t xml:space="preserve">Problems: 2, 5, 8, 9, 10 · Data status: Real-data-native · Build order: 2nd of 5 · Status: Not started</w:t>
      </w:r>
    </w:p>
    <w:p>
      <w:pPr>
        <w:pStyle w:val="ListParagraph"/>
        <w:numPr>
          <w:ilvl w:val="0"/>
          <w:numId w:val="2"/>
        </w:numPr>
        <w:spacing w:after="60"/>
      </w:pPr>
      <w:r>
        <w:rPr>
          <w:sz w:val="19"/>
          <w:szCs w:val="19"/>
        </w:rPr>
        <w:t xml:space="preserve">SMART objective: Deliver 5 notebooks (Problems 2/5/8/9/10) classifying customers by risk segment, income, age-group risk, education, and housing. Measurable: each champion model's real cross-validated metric beats a random-chance baseline and is logged. Achievable: built entirely from application_train.csv fields already confirmed present. Relevant: supports differentiated underwriting policy across customer segments. Time-bound: sequenced 2nd of 5, starting immediately after Mega Project 1's real-run confirmation.</w:t>
      </w:r>
    </w:p>
    <w:p>
      <w:pPr>
        <w:pStyle w:val="ListParagraph"/>
        <w:numPr>
          <w:ilvl w:val="0"/>
          <w:numId w:val="2"/>
        </w:numPr>
        <w:spacing w:after="60"/>
      </w:pPr>
      <w:r>
        <w:rPr>
          <w:sz w:val="19"/>
          <w:szCs w:val="19"/>
        </w:rPr>
        <w:t xml:space="preserve">CRISP-DM phase reached: Business Understanding and Data Understanding complete (scope and real columns verified in the Feasibility Audit). Data Preparation onward begins when this Mega Project's build starts.</w:t>
      </w:r>
    </w:p>
    <w:p>
      <w:pPr>
        <w:pStyle w:val="ListParagraph"/>
        <w:numPr>
          <w:ilvl w:val="0"/>
          <w:numId w:val="2"/>
        </w:numPr>
        <w:spacing w:after="60"/>
      </w:pPr>
      <w:r>
        <w:rPr>
          <w:sz w:val="19"/>
          <w:szCs w:val="19"/>
        </w:rPr>
        <w:t xml:space="preserve">Agile status: Sprint 2 of 5 — Not started; queued in the Product Backlog (the problem list above), next after Sprint 1's Review.</w:t>
      </w:r>
    </w:p>
    <w:p>
      <w:pPr>
        <w:pStyle w:val="Heading2"/>
        <w:spacing w:after="100" w:before="240"/>
      </w:pPr>
      <w:r>
        <w:rPr>
          <w:b/>
          <w:bCs/>
          <w:color w:val="B8860B"/>
          <w:sz w:val="22"/>
          <w:szCs w:val="22"/>
        </w:rPr>
        <w:t xml:space="preserve">Mega Project 3 — Delinquency Mitigation &amp; Warning</w:t>
      </w:r>
    </w:p>
    <w:p>
      <w:pPr>
        <w:pStyle w:val="ListParagraph"/>
        <w:numPr>
          <w:ilvl w:val="0"/>
          <w:numId w:val="2"/>
        </w:numPr>
        <w:spacing w:after="60"/>
      </w:pPr>
      <w:r>
        <w:rPr>
          <w:b/>
          <w:bCs/>
          <w:sz w:val="19"/>
          <w:szCs w:val="19"/>
        </w:rPr>
        <w:t xml:space="preserve">Problems: 6, 13, 14, 15, 19 · Data status: Real-data-native · Build order: 3rd of 5 · Status: Not started</w:t>
      </w:r>
    </w:p>
    <w:p>
      <w:pPr>
        <w:pStyle w:val="ListParagraph"/>
        <w:numPr>
          <w:ilvl w:val="0"/>
          <w:numId w:val="2"/>
        </w:numPr>
        <w:spacing w:after="60"/>
      </w:pPr>
      <w:r>
        <w:rPr>
          <w:sz w:val="19"/>
          <w:szCs w:val="19"/>
        </w:rPr>
        <w:t xml:space="preserve">SMART objective: Deliver 5 notebooks (Problems 6/13/14/15/19) covering employment status through delinquency-escalation prediction. Measurable: each model's real precision/recall on the actual default-escalation signal, logged per problem. Achievable: built from bureau.csv and previous_application.csv fields already verified real. Relevant: supports early-warning risk operations before an account reaches default. Time-bound: sequenced 3rd of 5.</w:t>
      </w:r>
    </w:p>
    <w:p>
      <w:pPr>
        <w:pStyle w:val="ListParagraph"/>
        <w:numPr>
          <w:ilvl w:val="0"/>
          <w:numId w:val="2"/>
        </w:numPr>
        <w:spacing w:after="60"/>
      </w:pPr>
      <w:r>
        <w:rPr>
          <w:sz w:val="19"/>
          <w:szCs w:val="19"/>
        </w:rPr>
        <w:t xml:space="preserve">CRISP-DM phase reached: Business Understanding and Data Understanding complete (scope and real columns verified in the Feasibility Audit). Data Preparation onward begins when this Mega Project's build starts.</w:t>
      </w:r>
    </w:p>
    <w:p>
      <w:pPr>
        <w:pStyle w:val="ListParagraph"/>
        <w:numPr>
          <w:ilvl w:val="0"/>
          <w:numId w:val="2"/>
        </w:numPr>
        <w:spacing w:after="60"/>
      </w:pPr>
      <w:r>
        <w:rPr>
          <w:sz w:val="19"/>
          <w:szCs w:val="19"/>
        </w:rPr>
        <w:t xml:space="preserve">Agile status: Sprint 3 of 5 — Not started; queued behind Sprint 2.</w:t>
      </w:r>
    </w:p>
    <w:p>
      <w:pPr>
        <w:pStyle w:val="Heading2"/>
        <w:spacing w:after="100" w:before="240"/>
      </w:pPr>
      <w:r>
        <w:rPr>
          <w:b/>
          <w:bCs/>
          <w:color w:val="B8860B"/>
          <w:sz w:val="22"/>
          <w:szCs w:val="22"/>
        </w:rPr>
        <w:t xml:space="preserve">Mega Project 4 — Liquidity &amp; Cash Flow Analytics</w:t>
      </w:r>
    </w:p>
    <w:p>
      <w:pPr>
        <w:pStyle w:val="ListParagraph"/>
        <w:numPr>
          <w:ilvl w:val="0"/>
          <w:numId w:val="2"/>
        </w:numPr>
        <w:spacing w:after="60"/>
      </w:pPr>
      <w:r>
        <w:rPr>
          <w:b/>
          <w:bCs/>
          <w:sz w:val="19"/>
          <w:szCs w:val="19"/>
        </w:rPr>
        <w:t xml:space="preserve">Problems: 7, 11, 14, 16, 17 (11 shared with Mega Project 1, 14 shared with Mega Project 3) · Data status: Real-data-native · Build order: 4th of 5 · Status: Not started</w:t>
      </w:r>
    </w:p>
    <w:p>
      <w:pPr>
        <w:pStyle w:val="ListParagraph"/>
        <w:numPr>
          <w:ilvl w:val="0"/>
          <w:numId w:val="2"/>
        </w:numPr>
        <w:spacing w:after="60"/>
      </w:pPr>
      <w:r>
        <w:rPr>
          <w:sz w:val="19"/>
          <w:szCs w:val="19"/>
        </w:rPr>
        <w:t xml:space="preserve">SMART objective: Deliver 5 notebooks (Problems 7/11/14/16/17) forecasting balance and repayment behavior. Measurable: each forecast's real backtested error metric, logged. Achievable: built from POS_CASH_balance.csv and credit_card_balance.csv, both verified real. Relevant: supports liquidity-risk monitoring. Time-bound: sequenced 4th of 5.</w:t>
      </w:r>
    </w:p>
    <w:p>
      <w:pPr>
        <w:pStyle w:val="ListParagraph"/>
        <w:numPr>
          <w:ilvl w:val="0"/>
          <w:numId w:val="2"/>
        </w:numPr>
        <w:spacing w:after="60"/>
      </w:pPr>
      <w:r>
        <w:rPr>
          <w:sz w:val="19"/>
          <w:szCs w:val="19"/>
        </w:rPr>
        <w:t xml:space="preserve">CRISP-DM phase reached: Business Understanding and Data Understanding complete (scope and real columns verified in the Feasibility Audit). Data Preparation onward begins when this Mega Project's build starts.</w:t>
      </w:r>
    </w:p>
    <w:p>
      <w:pPr>
        <w:pStyle w:val="ListParagraph"/>
        <w:numPr>
          <w:ilvl w:val="0"/>
          <w:numId w:val="2"/>
        </w:numPr>
        <w:spacing w:after="60"/>
      </w:pPr>
      <w:r>
        <w:rPr>
          <w:sz w:val="19"/>
          <w:szCs w:val="19"/>
        </w:rPr>
        <w:t xml:space="preserve">Agile status: Sprint 4 of 5 — Not started; queued behind Sprint 3.</w:t>
      </w:r>
    </w:p>
    <w:p>
      <w:pPr>
        <w:pStyle w:val="Heading2"/>
        <w:spacing w:after="100" w:before="240"/>
      </w:pPr>
      <w:r>
        <w:rPr>
          <w:b/>
          <w:bCs/>
          <w:color w:val="B8860B"/>
          <w:sz w:val="22"/>
          <w:szCs w:val="22"/>
        </w:rPr>
        <w:t xml:space="preserve">Mega Project 5 — Behavioral Intelligence</w:t>
      </w:r>
    </w:p>
    <w:p>
      <w:pPr>
        <w:pStyle w:val="ListParagraph"/>
        <w:numPr>
          <w:ilvl w:val="0"/>
          <w:numId w:val="2"/>
        </w:numPr>
        <w:spacing w:after="60"/>
      </w:pPr>
      <w:r>
        <w:rPr>
          <w:b/>
          <w:bCs/>
          <w:sz w:val="19"/>
          <w:szCs w:val="19"/>
        </w:rPr>
        <w:t xml:space="preserve">Problems: 6, 7, 13, 15, 17 (all shared with Mega Projects 3 and 4) · Data status: Real-data-native · Build order: 5th of 5 · Status: Not started</w:t>
      </w:r>
    </w:p>
    <w:p>
      <w:pPr>
        <w:pStyle w:val="ListParagraph"/>
        <w:numPr>
          <w:ilvl w:val="0"/>
          <w:numId w:val="2"/>
        </w:numPr>
        <w:spacing w:after="60"/>
      </w:pPr>
      <w:r>
        <w:rPr>
          <w:sz w:val="19"/>
          <w:szCs w:val="19"/>
        </w:rPr>
        <w:t xml:space="preserve">SMART objective: Deliver 5 notebooks (Problems 6/7/13/15/17) synthesizing cross-cutting behavioral patterns. Measurable: each pattern's real statistical association (chi-square/correlation) with actual default outcomes, logged. Achievable by design, since all 5 problems reuse already-verified real columns. Relevant: supports holistic risk scoring that draws on every prior Mega Project's signal. Time-bound: sequenced 5th and last of 5.</w:t>
      </w:r>
    </w:p>
    <w:p>
      <w:pPr>
        <w:pStyle w:val="ListParagraph"/>
        <w:numPr>
          <w:ilvl w:val="0"/>
          <w:numId w:val="2"/>
        </w:numPr>
        <w:spacing w:after="60"/>
      </w:pPr>
      <w:r>
        <w:rPr>
          <w:sz w:val="19"/>
          <w:szCs w:val="19"/>
        </w:rPr>
        <w:t xml:space="preserve">CRISP-DM phase reached: Business Understanding and Data Understanding complete (scope and real columns verified in the Feasibility Audit). Data Preparation onward begins when this Mega Project's build starts.</w:t>
      </w:r>
    </w:p>
    <w:p>
      <w:pPr>
        <w:pStyle w:val="ListParagraph"/>
        <w:numPr>
          <w:ilvl w:val="0"/>
          <w:numId w:val="2"/>
        </w:numPr>
        <w:spacing w:after="60"/>
      </w:pPr>
      <w:r>
        <w:rPr>
          <w:sz w:val="19"/>
          <w:szCs w:val="19"/>
        </w:rPr>
        <w:t xml:space="preserve">Agile status: Sprint 5 of 5 — Not started; queued behind Sprint 4. Suite-level Retrospective (Section 3–4 pattern, repeated) runs after this sprint closes.</w:t>
      </w:r>
    </w:p>
    <w:p>
      <w:pPr>
        <w:pBdr>
          <w:left w:val="single" w:color="8A6D00" w:sz="16" w:space="8"/>
        </w:pBdr>
        <w:shd w:fill="FFF3CD" w:val="clear"/>
        <w:spacing w:after="140"/>
      </w:pPr>
      <w:r>
        <w:rPr>
          <w:color w:val="3A2F00"/>
          <w:sz w:val="19"/>
          <w:szCs w:val="19"/>
        </w:rPr>
        <w:t xml:space="preserve">Out of committed scope: the original Mega Project 1 — Regulatory Capital &amp; Revenue Expansion (Problems 18: Application Integrity/Anomaly Signal Detector, 20: Macro Stress Testing, 21: Regulatory Capital/Basel RWA, 22: Cross-Sell &amp; LTV, 23: Economic Capital &amp; Unexpected Loss) — has been removed from this suite at the user's explicit direction (Section 1), so that every committed Mega Project stays 100% real-data-native. Problem 18 was fully resolved and is itself real-data-native (Application Integrity / Anomaly Signal Detector, built from real FLAG_DOCUMENT_2–21, address-mismatch, and social-circle columns); Problems 20, 21, and 23 need formula-plus-assumption modeling (macro scenarios, Basel RWA, economic capital) and Problem 22 needs a proxy-scope framing (Home Credit is single-product data with no cross-sell signal) — see the Regulatory &amp; Compliance Framework note (Section 9) for the specific regulatory modules affected. None of these five problems has any notebook, artifact, or Evidence Ledger row in this suite.</w:t>
      </w:r>
    </w:p>
    <w:p>
      <w:pPr>
        <w:pStyle w:val="Heading1"/>
        <w:pBdr>
          <w:bottom w:val="single" w:color="1F3864" w:sz="12" w:space="4"/>
        </w:pBdr>
        <w:spacing w:after="180" w:before="420"/>
      </w:pPr>
      <w:r>
        <w:rPr>
          <w:b/>
          <w:bCs/>
          <w:color w:val="1F3864"/>
          <w:sz w:val="28"/>
          <w:szCs w:val="28"/>
        </w:rPr>
        <w:t xml:space="preserve">12. Evidence Ledger — Status Tracking Template</w:t>
      </w:r>
    </w:p>
    <w:p>
      <w:pPr>
        <w:spacing w:after="110"/>
      </w:pPr>
      <w:r>
        <w:rPr>
          <w:sz w:val="20"/>
          <w:szCs w:val="20"/>
        </w:rPr>
        <w:t xml:space="preserve">This table is the single source of truth for suite completion status (Refinement 6). No problem is marked complete anywhere else — slide, README, or conversation — without a row here.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1900"/>
        <w:gridCol w:w="3060"/>
      </w:tblGrid>
      <w:tr>
        <w:tc>
          <w:tcPr>
            <w:tcW w:type="dxa" w:w="1100"/>
            <w:shd w:fill="1F3864" w:val="clear"/>
            <w:tcMar>
              <w:top w:type="dxa" w:w="60"/>
              <w:left w:type="dxa" w:w="80"/>
              <w:bottom w:type="dxa" w:w="60"/>
              <w:right w:type="dxa" w:w="80"/>
            </w:tcMar>
          </w:tcPr>
          <w:p>
            <w:r>
              <w:rPr>
                <w:b/>
                <w:bCs/>
                <w:color w:val="FFFFFF"/>
                <w:sz w:val="16"/>
                <w:szCs w:val="16"/>
              </w:rPr>
              <w:t xml:space="preserve">Problem #</w:t>
            </w:r>
          </w:p>
        </w:tc>
        <w:tc>
          <w:tcPr>
            <w:tcW w:type="dxa" w:w="2500"/>
            <w:shd w:fill="1F3864" w:val="clear"/>
            <w:tcMar>
              <w:top w:type="dxa" w:w="60"/>
              <w:left w:type="dxa" w:w="80"/>
              <w:bottom w:type="dxa" w:w="60"/>
              <w:right w:type="dxa" w:w="80"/>
            </w:tcMar>
          </w:tcPr>
          <w:p>
            <w:r>
              <w:rPr>
                <w:b/>
                <w:bCs/>
                <w:color w:val="FFFFFF"/>
                <w:sz w:val="16"/>
                <w:szCs w:val="16"/>
              </w:rPr>
              <w:t xml:space="preserve">Notebook stage reached</w:t>
            </w:r>
          </w:p>
        </w:tc>
        <w:tc>
          <w:tcPr>
            <w:tcW w:type="dxa" w:w="1900"/>
            <w:shd w:fill="1F3864" w:val="clear"/>
            <w:tcMar>
              <w:top w:type="dxa" w:w="60"/>
              <w:left w:type="dxa" w:w="80"/>
              <w:bottom w:type="dxa" w:w="60"/>
              <w:right w:type="dxa" w:w="80"/>
            </w:tcMar>
          </w:tcPr>
          <w:p>
            <w:r>
              <w:rPr>
                <w:b/>
                <w:bCs/>
                <w:color w:val="FFFFFF"/>
                <w:sz w:val="16"/>
                <w:szCs w:val="16"/>
              </w:rPr>
              <w:t xml:space="preserve">Real-run confirmed?</w:t>
            </w:r>
          </w:p>
        </w:tc>
        <w:tc>
          <w:tcPr>
            <w:tcW w:type="dxa" w:w="3060"/>
            <w:shd w:fill="1F3864" w:val="clear"/>
            <w:tcMar>
              <w:top w:type="dxa" w:w="60"/>
              <w:left w:type="dxa" w:w="80"/>
              <w:bottom w:type="dxa" w:w="60"/>
              <w:right w:type="dxa" w:w="80"/>
            </w:tcMar>
          </w:tcPr>
          <w:p>
            <w:r>
              <w:rPr>
                <w:b/>
                <w:bCs/>
                <w:color w:val="FFFFFF"/>
                <w:sz w:val="16"/>
                <w:szCs w:val="16"/>
              </w:rPr>
              <w:t xml:space="preserve">Artifact / commit ref</w:t>
            </w:r>
          </w:p>
        </w:tc>
      </w:tr>
      <w:tr>
        <w:tc>
          <w:tcPr>
            <w:tcW w:type="dxa" w:w="1100"/>
            <w:tcMar>
              <w:top w:type="dxa" w:w="60"/>
              <w:left w:type="dxa" w:w="80"/>
              <w:bottom w:type="dxa" w:w="60"/>
              <w:right w:type="dxa" w:w="80"/>
            </w:tcMar>
          </w:tcPr>
          <w:p>
            <w:r>
              <w:rPr>
                <w:color w:val="222222"/>
                <w:sz w:val="16"/>
                <w:szCs w:val="16"/>
              </w:rPr>
              <w:t xml:space="preserve">1</w:t>
            </w:r>
          </w:p>
        </w:tc>
        <w:tc>
          <w:tcPr>
            <w:tcW w:type="dxa" w:w="2500"/>
            <w:tcMar>
              <w:top w:type="dxa" w:w="60"/>
              <w:left w:type="dxa" w:w="80"/>
              <w:bottom w:type="dxa" w:w="60"/>
              <w:right w:type="dxa" w:w="80"/>
            </w:tcMar>
          </w:tcPr>
          <w:p>
            <w:r>
              <w:rPr>
                <w:color w:val="222222"/>
                <w:sz w:val="16"/>
                <w:szCs w:val="16"/>
              </w:rPr>
              <w:t xml:space="preserve">Notebook 01 (Credit Default Prediction) — Stage 6, fixture-verified via real Jupyter execution</w:t>
            </w:r>
          </w:p>
        </w:tc>
        <w:tc>
          <w:tcPr>
            <w:tcW w:type="dxa" w:w="1900"/>
            <w:tcMar>
              <w:top w:type="dxa" w:w="60"/>
              <w:left w:type="dxa" w:w="80"/>
              <w:bottom w:type="dxa" w:w="60"/>
              <w:right w:type="dxa" w:w="80"/>
            </w:tcMar>
          </w:tcPr>
          <w:p>
            <w:r>
              <w:rPr>
                <w:color w:val="222222"/>
                <w:sz w:val="16"/>
                <w:szCs w:val="16"/>
              </w:rPr>
              <w:t xml:space="preserve">NOT YET</w:t>
            </w:r>
          </w:p>
        </w:tc>
        <w:tc>
          <w:tcPr>
            <w:tcW w:type="dxa" w:w="3060"/>
            <w:tcMar>
              <w:top w:type="dxa" w:w="60"/>
              <w:left w:type="dxa" w:w="80"/>
              <w:bottom w:type="dxa" w:w="60"/>
              <w:right w:type="dxa" w:w="80"/>
            </w:tcMar>
          </w:tcPr>
          <w:p>
            <w:r>
              <w:rPr>
                <w:color w:val="222222"/>
                <w:sz w:val="16"/>
                <w:szCs w:val="16"/>
              </w:rPr>
              <w:t xml:space="preserve">decision_engine/artifacts/notebook_01_summary.json (pending real run)</w:t>
            </w:r>
          </w:p>
        </w:tc>
      </w:tr>
      <w:tr>
        <w:tc>
          <w:tcPr>
            <w:tcW w:type="dxa" w:w="1100"/>
            <w:tcMar>
              <w:top w:type="dxa" w:w="60"/>
              <w:left w:type="dxa" w:w="80"/>
              <w:bottom w:type="dxa" w:w="60"/>
              <w:right w:type="dxa" w:w="80"/>
            </w:tcMar>
          </w:tcPr>
          <w:p>
            <w:r>
              <w:rPr>
                <w:color w:val="222222"/>
                <w:sz w:val="16"/>
                <w:szCs w:val="16"/>
              </w:rPr>
              <w:t xml:space="preserve">3</w:t>
            </w:r>
          </w:p>
        </w:tc>
        <w:tc>
          <w:tcPr>
            <w:tcW w:type="dxa" w:w="2500"/>
            <w:tcMar>
              <w:top w:type="dxa" w:w="60"/>
              <w:left w:type="dxa" w:w="80"/>
              <w:bottom w:type="dxa" w:w="60"/>
              <w:right w:type="dxa" w:w="80"/>
            </w:tcMar>
          </w:tcPr>
          <w:p>
            <w:r>
              <w:rPr>
                <w:color w:val="222222"/>
                <w:sz w:val="16"/>
                <w:szCs w:val="16"/>
              </w:rPr>
              <w:t xml:space="preserve">Notebook 02 (Loan Application Approval) — Stage 6, fixture-verified via real Jupyter execution</w:t>
            </w:r>
          </w:p>
        </w:tc>
        <w:tc>
          <w:tcPr>
            <w:tcW w:type="dxa" w:w="1900"/>
            <w:tcMar>
              <w:top w:type="dxa" w:w="60"/>
              <w:left w:type="dxa" w:w="80"/>
              <w:bottom w:type="dxa" w:w="60"/>
              <w:right w:type="dxa" w:w="80"/>
            </w:tcMar>
          </w:tcPr>
          <w:p>
            <w:r>
              <w:rPr>
                <w:color w:val="222222"/>
                <w:sz w:val="16"/>
                <w:szCs w:val="16"/>
              </w:rPr>
              <w:t xml:space="preserve">NOT YET</w:t>
            </w:r>
          </w:p>
        </w:tc>
        <w:tc>
          <w:tcPr>
            <w:tcW w:type="dxa" w:w="3060"/>
            <w:tcMar>
              <w:top w:type="dxa" w:w="60"/>
              <w:left w:type="dxa" w:w="80"/>
              <w:bottom w:type="dxa" w:w="60"/>
              <w:right w:type="dxa" w:w="80"/>
            </w:tcMar>
          </w:tcPr>
          <w:p>
            <w:r>
              <w:rPr>
                <w:color w:val="222222"/>
                <w:sz w:val="16"/>
                <w:szCs w:val="16"/>
              </w:rPr>
              <w:t xml:space="preserve">decision_engine/artifacts/notebook_02_summary.json (pending real run)</w:t>
            </w:r>
          </w:p>
        </w:tc>
      </w:tr>
      <w:tr>
        <w:tc>
          <w:tcPr>
            <w:tcW w:type="dxa" w:w="1100"/>
            <w:tcMar>
              <w:top w:type="dxa" w:w="60"/>
              <w:left w:type="dxa" w:w="80"/>
              <w:bottom w:type="dxa" w:w="60"/>
              <w:right w:type="dxa" w:w="80"/>
            </w:tcMar>
          </w:tcPr>
          <w:p>
            <w:r>
              <w:rPr>
                <w:color w:val="222222"/>
                <w:sz w:val="16"/>
                <w:szCs w:val="16"/>
              </w:rPr>
              <w:t xml:space="preserve">4</w:t>
            </w:r>
          </w:p>
        </w:tc>
        <w:tc>
          <w:tcPr>
            <w:tcW w:type="dxa" w:w="2500"/>
            <w:tcMar>
              <w:top w:type="dxa" w:w="60"/>
              <w:left w:type="dxa" w:w="80"/>
              <w:bottom w:type="dxa" w:w="60"/>
              <w:right w:type="dxa" w:w="80"/>
            </w:tcMar>
          </w:tcPr>
          <w:p>
            <w:r>
              <w:rPr>
                <w:color w:val="222222"/>
                <w:sz w:val="16"/>
                <w:szCs w:val="16"/>
              </w:rPr>
              <w:t xml:space="preserve">Notebook 03 (Credit Score Estimation) — Stage 6, fixture-verified via real Jupyter execution; depends on Notebook 01's trained model</w:t>
            </w:r>
          </w:p>
        </w:tc>
        <w:tc>
          <w:tcPr>
            <w:tcW w:type="dxa" w:w="1900"/>
            <w:tcMar>
              <w:top w:type="dxa" w:w="60"/>
              <w:left w:type="dxa" w:w="80"/>
              <w:bottom w:type="dxa" w:w="60"/>
              <w:right w:type="dxa" w:w="80"/>
            </w:tcMar>
          </w:tcPr>
          <w:p>
            <w:r>
              <w:rPr>
                <w:color w:val="222222"/>
                <w:sz w:val="16"/>
                <w:szCs w:val="16"/>
              </w:rPr>
              <w:t xml:space="preserve">NOT YET</w:t>
            </w:r>
          </w:p>
        </w:tc>
        <w:tc>
          <w:tcPr>
            <w:tcW w:type="dxa" w:w="3060"/>
            <w:tcMar>
              <w:top w:type="dxa" w:w="60"/>
              <w:left w:type="dxa" w:w="80"/>
              <w:bottom w:type="dxa" w:w="60"/>
              <w:right w:type="dxa" w:w="80"/>
            </w:tcMar>
          </w:tcPr>
          <w:p>
            <w:r>
              <w:rPr>
                <w:color w:val="222222"/>
                <w:sz w:val="16"/>
                <w:szCs w:val="16"/>
              </w:rPr>
              <w:t xml:space="preserve">decision_engine/artifacts/notebook_03_summary.json (pending real run)</w:t>
            </w:r>
          </w:p>
        </w:tc>
      </w:tr>
      <w:tr>
        <w:tc>
          <w:tcPr>
            <w:tcW w:type="dxa" w:w="1100"/>
            <w:tcMar>
              <w:top w:type="dxa" w:w="60"/>
              <w:left w:type="dxa" w:w="80"/>
              <w:bottom w:type="dxa" w:w="60"/>
              <w:right w:type="dxa" w:w="80"/>
            </w:tcMar>
          </w:tcPr>
          <w:p>
            <w:r>
              <w:rPr>
                <w:color w:val="222222"/>
                <w:sz w:val="16"/>
                <w:szCs w:val="16"/>
              </w:rPr>
              <w:t xml:space="preserve">11</w:t>
            </w:r>
          </w:p>
        </w:tc>
        <w:tc>
          <w:tcPr>
            <w:tcW w:type="dxa" w:w="2500"/>
            <w:tcMar>
              <w:top w:type="dxa" w:w="60"/>
              <w:left w:type="dxa" w:w="80"/>
              <w:bottom w:type="dxa" w:w="60"/>
              <w:right w:type="dxa" w:w="80"/>
            </w:tcMar>
          </w:tcPr>
          <w:p>
            <w:r>
              <w:rPr>
                <w:color w:val="222222"/>
                <w:sz w:val="16"/>
                <w:szCs w:val="16"/>
              </w:rPr>
              <w:t xml:space="preserve">Notebook 04 (Repayment Capacity Analysis) — Stage 6, fixture-verified via real Jupyter execution</w:t>
            </w:r>
          </w:p>
        </w:tc>
        <w:tc>
          <w:tcPr>
            <w:tcW w:type="dxa" w:w="1900"/>
            <w:tcMar>
              <w:top w:type="dxa" w:w="60"/>
              <w:left w:type="dxa" w:w="80"/>
              <w:bottom w:type="dxa" w:w="60"/>
              <w:right w:type="dxa" w:w="80"/>
            </w:tcMar>
          </w:tcPr>
          <w:p>
            <w:r>
              <w:rPr>
                <w:color w:val="222222"/>
                <w:sz w:val="16"/>
                <w:szCs w:val="16"/>
              </w:rPr>
              <w:t xml:space="preserve">NOT YET</w:t>
            </w:r>
          </w:p>
        </w:tc>
        <w:tc>
          <w:tcPr>
            <w:tcW w:type="dxa" w:w="3060"/>
            <w:tcMar>
              <w:top w:type="dxa" w:w="60"/>
              <w:left w:type="dxa" w:w="80"/>
              <w:bottom w:type="dxa" w:w="60"/>
              <w:right w:type="dxa" w:w="80"/>
            </w:tcMar>
          </w:tcPr>
          <w:p>
            <w:r>
              <w:rPr>
                <w:color w:val="222222"/>
                <w:sz w:val="16"/>
                <w:szCs w:val="16"/>
              </w:rPr>
              <w:t xml:space="preserve">decision_engine/artifacts/notebook_04_summary.json (pending real run)</w:t>
            </w:r>
          </w:p>
        </w:tc>
      </w:tr>
      <w:tr>
        <w:tc>
          <w:tcPr>
            <w:tcW w:type="dxa" w:w="1100"/>
            <w:tcMar>
              <w:top w:type="dxa" w:w="60"/>
              <w:left w:type="dxa" w:w="80"/>
              <w:bottom w:type="dxa" w:w="60"/>
              <w:right w:type="dxa" w:w="80"/>
            </w:tcMar>
          </w:tcPr>
          <w:p>
            <w:r>
              <w:rPr>
                <w:color w:val="222222"/>
                <w:sz w:val="16"/>
                <w:szCs w:val="16"/>
              </w:rPr>
              <w:t xml:space="preserve">12</w:t>
            </w:r>
          </w:p>
        </w:tc>
        <w:tc>
          <w:tcPr>
            <w:tcW w:type="dxa" w:w="2500"/>
            <w:tcMar>
              <w:top w:type="dxa" w:w="60"/>
              <w:left w:type="dxa" w:w="80"/>
              <w:bottom w:type="dxa" w:w="60"/>
              <w:right w:type="dxa" w:w="80"/>
            </w:tcMar>
          </w:tcPr>
          <w:p>
            <w:r>
              <w:rPr>
                <w:color w:val="222222"/>
                <w:sz w:val="16"/>
                <w:szCs w:val="16"/>
              </w:rPr>
              <w:t xml:space="preserve">Notebook 05 (Previous Application Outcomes) — Stage 6, fixture-verified via real Jupyter execution</w:t>
            </w:r>
          </w:p>
        </w:tc>
        <w:tc>
          <w:tcPr>
            <w:tcW w:type="dxa" w:w="1900"/>
            <w:tcMar>
              <w:top w:type="dxa" w:w="60"/>
              <w:left w:type="dxa" w:w="80"/>
              <w:bottom w:type="dxa" w:w="60"/>
              <w:right w:type="dxa" w:w="80"/>
            </w:tcMar>
          </w:tcPr>
          <w:p>
            <w:r>
              <w:rPr>
                <w:color w:val="222222"/>
                <w:sz w:val="16"/>
                <w:szCs w:val="16"/>
              </w:rPr>
              <w:t xml:space="preserve">NOT YET</w:t>
            </w:r>
          </w:p>
        </w:tc>
        <w:tc>
          <w:tcPr>
            <w:tcW w:type="dxa" w:w="3060"/>
            <w:tcMar>
              <w:top w:type="dxa" w:w="60"/>
              <w:left w:type="dxa" w:w="80"/>
              <w:bottom w:type="dxa" w:w="60"/>
              <w:right w:type="dxa" w:w="80"/>
            </w:tcMar>
          </w:tcPr>
          <w:p>
            <w:r>
              <w:rPr>
                <w:color w:val="222222"/>
                <w:sz w:val="16"/>
                <w:szCs w:val="16"/>
              </w:rPr>
              <w:t xml:space="preserve">decision_engine/artifacts/notebook_05_summary.json (pending real run)</w:t>
            </w:r>
          </w:p>
        </w:tc>
      </w:tr>
      <w:tr>
        <w:tc>
          <w:tcPr>
            <w:tcW w:type="dxa" w:w="1100"/>
            <w:tcMar>
              <w:top w:type="dxa" w:w="60"/>
              <w:left w:type="dxa" w:w="80"/>
              <w:bottom w:type="dxa" w:w="60"/>
              <w:right w:type="dxa" w:w="80"/>
            </w:tcMar>
          </w:tcPr>
          <w:p>
            <w:r>
              <w:rPr>
                <w:color w:val="222222"/>
                <w:sz w:val="16"/>
                <w:szCs w:val="16"/>
              </w:rPr>
              <w:t xml:space="preserve">2, 5–10, 13–17, 19</w:t>
            </w:r>
          </w:p>
        </w:tc>
        <w:tc>
          <w:tcPr>
            <w:tcW w:type="dxa" w:w="2500"/>
            <w:tcMar>
              <w:top w:type="dxa" w:w="60"/>
              <w:left w:type="dxa" w:w="80"/>
              <w:bottom w:type="dxa" w:w="60"/>
              <w:right w:type="dxa" w:w="80"/>
            </w:tcMar>
          </w:tcPr>
          <w:p>
            <w:r>
              <w:rPr>
                <w:color w:val="222222"/>
                <w:sz w:val="16"/>
                <w:szCs w:val="16"/>
              </w:rPr>
              <w:t xml:space="preserve">Not started</w:t>
            </w:r>
          </w:p>
        </w:tc>
        <w:tc>
          <w:tcPr>
            <w:tcW w:type="dxa" w:w="1900"/>
            <w:tcMar>
              <w:top w:type="dxa" w:w="60"/>
              <w:left w:type="dxa" w:w="80"/>
              <w:bottom w:type="dxa" w:w="60"/>
              <w:right w:type="dxa" w:w="80"/>
            </w:tcMar>
          </w:tcPr>
          <w:p>
            <w:r>
              <w:rPr>
                <w:color w:val="222222"/>
                <w:sz w:val="16"/>
                <w:szCs w:val="16"/>
              </w:rPr>
              <w:t xml:space="preserve">—</w:t>
            </w:r>
          </w:p>
        </w:tc>
        <w:tc>
          <w:tcPr>
            <w:tcW w:type="dxa" w:w="3060"/>
            <w:tcMar>
              <w:top w:type="dxa" w:w="60"/>
              <w:left w:type="dxa" w:w="80"/>
              <w:bottom w:type="dxa" w:w="60"/>
              <w:right w:type="dxa" w:w="80"/>
            </w:tcMar>
          </w:tcPr>
          <w:p>
            <w:r>
              <w:rPr>
                <w:color w:val="222222"/>
                <w:sz w:val="16"/>
                <w:szCs w:val="16"/>
              </w:rPr>
              <w:t xml:space="preserve">—</w:t>
            </w:r>
          </w:p>
        </w:tc>
      </w:tr>
    </w:tbl>
    <w:p>
      <w:r>
        <w:br w:type="page"/>
      </w:r>
    </w:p>
    <w:p>
      <w:pPr>
        <w:pStyle w:val="Heading1"/>
        <w:pBdr>
          <w:bottom w:val="single" w:color="1F3864" w:sz="12" w:space="4"/>
        </w:pBdr>
        <w:spacing w:after="180" w:before="420"/>
      </w:pPr>
      <w:r>
        <w:rPr>
          <w:b/>
          <w:bCs/>
          <w:color w:val="1F3864"/>
          <w:sz w:val="28"/>
          <w:szCs w:val="28"/>
        </w:rPr>
        <w:t xml:space="preserve">13. GitHub, Kaggle &amp; LinkedIn Packaging Plan</w:t>
      </w:r>
    </w:p>
    <w:p>
      <w:pPr>
        <w:pStyle w:val="Heading2"/>
        <w:spacing w:after="100" w:before="240"/>
      </w:pPr>
      <w:r>
        <w:rPr>
          <w:b/>
          <w:bCs/>
          <w:color w:val="B8860B"/>
          <w:sz w:val="22"/>
          <w:szCs w:val="22"/>
        </w:rPr>
        <w:t xml:space="preserve">GitHub</w:t>
      </w:r>
    </w:p>
    <w:p>
      <w:pPr>
        <w:pStyle w:val="ListParagraph"/>
        <w:numPr>
          <w:ilvl w:val="0"/>
          <w:numId w:val="2"/>
        </w:numPr>
        <w:spacing w:after="60"/>
      </w:pPr>
      <w:r>
        <w:rPr>
          <w:sz w:val="19"/>
          <w:szCs w:val="19"/>
        </w:rPr>
        <w:t xml:space="preserve">Single monorepo, pushed using the AMEX-proven workaround: commit inside the cloud container's own filesystem (never inside a device-mounted/fuseblk folder, which breaks git's unlink-based object store), then push from the device's own local disk using a PAT verified to carry the ‘repo’ scope (check the x-oauth-scopes response header before assuming a token works)</w:t>
      </w:r>
    </w:p>
    <w:p>
      <w:pPr>
        <w:pStyle w:val="ListParagraph"/>
        <w:numPr>
          <w:ilvl w:val="0"/>
          <w:numId w:val="2"/>
        </w:numPr>
        <w:spacing w:after="60"/>
      </w:pPr>
      <w:r>
        <w:rPr>
          <w:sz w:val="19"/>
          <w:szCs w:val="19"/>
        </w:rPr>
        <w:t xml:space="preserve">CI badge, MODEL_CARD.md per problem, root README with the real architecture and only real, sourced metrics — no salary/value claims without a cited external benchmark (closes Gap 2)</w:t>
      </w:r>
    </w:p>
    <w:p>
      <w:pPr>
        <w:pStyle w:val="Heading2"/>
        <w:spacing w:after="100" w:before="240"/>
      </w:pPr>
      <w:r>
        <w:rPr>
          <w:b/>
          <w:bCs/>
          <w:color w:val="B8860B"/>
          <w:sz w:val="22"/>
          <w:szCs w:val="22"/>
        </w:rPr>
        <w:t xml:space="preserve">Kaggle</w:t>
      </w:r>
    </w:p>
    <w:p>
      <w:pPr>
        <w:pStyle w:val="ListParagraph"/>
        <w:numPr>
          <w:ilvl w:val="0"/>
          <w:numId w:val="2"/>
        </w:numPr>
        <w:spacing w:after="60"/>
      </w:pPr>
      <w:r>
        <w:rPr>
          <w:sz w:val="19"/>
          <w:szCs w:val="19"/>
        </w:rPr>
        <w:t xml:space="preserve">Public notebooks published only after Stage 4 (Statistical Validation) passes on real data — published metrics are the notebook's own real run output, never restated or rounded up</w:t>
      </w:r>
    </w:p>
    <w:p>
      <w:pPr>
        <w:pStyle w:val="Heading2"/>
        <w:spacing w:after="100" w:before="240"/>
      </w:pPr>
      <w:r>
        <w:rPr>
          <w:b/>
          <w:bCs/>
          <w:color w:val="B8860B"/>
          <w:sz w:val="22"/>
          <w:szCs w:val="22"/>
        </w:rPr>
        <w:t xml:space="preserve">LinkedIn</w:t>
      </w:r>
    </w:p>
    <w:p>
      <w:pPr>
        <w:pStyle w:val="ListParagraph"/>
        <w:numPr>
          <w:ilvl w:val="0"/>
          <w:numId w:val="2"/>
        </w:numPr>
        <w:spacing w:after="60"/>
      </w:pPr>
      <w:r>
        <w:rPr>
          <w:sz w:val="19"/>
          <w:szCs w:val="19"/>
        </w:rPr>
        <w:t xml:space="preserve">Project summary posts reference only Evidence-Ledger-confirmed results; every figure traceable back to a specific notebook run</w:t>
      </w:r>
    </w:p>
    <w:p>
      <w:pPr>
        <w:pStyle w:val="Heading1"/>
        <w:pBdr>
          <w:bottom w:val="single" w:color="1F3864" w:sz="12" w:space="4"/>
        </w:pBdr>
        <w:spacing w:after="180" w:before="420"/>
      </w:pPr>
      <w:r>
        <w:rPr>
          <w:b/>
          <w:bCs/>
          <w:color w:val="1F3864"/>
          <w:sz w:val="28"/>
          <w:szCs w:val="28"/>
        </w:rPr>
        <w:t xml:space="preserve">14. Current Status &amp; Immediate Next Steps</w:t>
      </w:r>
    </w:p>
    <w:p>
      <w:pPr>
        <w:pStyle w:val="ListParagraph"/>
        <w:numPr>
          <w:ilvl w:val="0"/>
          <w:numId w:val="2"/>
        </w:numPr>
        <w:spacing w:after="60"/>
      </w:pPr>
      <w:r>
        <w:rPr>
          <w:sz w:val="19"/>
          <w:szCs w:val="19"/>
        </w:rPr>
        <w:t xml:space="preserve">This plan's scope was restructured from 6 Mega Projects / 23 problems to 5 Mega Projects / 18 problems at your direction on August 31, 2026, so that every committed problem stays 100% real-data-native (Section 1, Section 11)</w:t>
      </w:r>
    </w:p>
    <w:p>
      <w:pPr>
        <w:pStyle w:val="ListParagraph"/>
        <w:numPr>
          <w:ilvl w:val="0"/>
          <w:numId w:val="2"/>
        </w:numPr>
        <w:spacing w:after="60"/>
      </w:pPr>
      <w:r>
        <w:rPr>
          <w:sz w:val="19"/>
          <w:szCs w:val="19"/>
        </w:rPr>
        <w:t xml:space="preserve">All 5 Mega Project 1 notebooks (Underwriting &amp; Decisioning) are built and fixture-verified end-to-end (0 errors on real Jupyter execution, all integrity checks passed, idempotency confirmed): Notebook 01 (Problem 1, Credit Default Prediction), Notebook 02 (Problem 3, Loan Application Approval), Notebook 03 (Problem 4, Credit Score Estimation — depends on Notebook 01's trained model artifact and the shared feature module), Notebook 04 (Problem 11, Repayment Capacity Analysis), Notebook 05 (Problem 12, Previous Application Outcomes)</w:t>
      </w:r>
    </w:p>
    <w:p>
      <w:pPr>
        <w:pStyle w:val="ListParagraph"/>
        <w:numPr>
          <w:ilvl w:val="0"/>
          <w:numId w:val="2"/>
        </w:numPr>
        <w:spacing w:after="60"/>
      </w:pPr>
      <w:r>
        <w:rPr>
          <w:sz w:val="19"/>
          <w:szCs w:val="19"/>
        </w:rPr>
        <w:t xml:space="preserve">Awaiting your real-data run of all 5 Mega Project 1 notebooks and the reported real results, per the standing zero-fabrication rule (Claude verifies against a synthetic fixture only; you run the real pipeline)</w:t>
      </w:r>
    </w:p>
    <w:p>
      <w:pPr>
        <w:pStyle w:val="ListParagraph"/>
        <w:numPr>
          <w:ilvl w:val="0"/>
          <w:numId w:val="2"/>
        </w:numPr>
        <w:spacing w:after="60"/>
      </w:pPr>
      <w:r>
        <w:rPr>
          <w:sz w:val="19"/>
          <w:szCs w:val="19"/>
        </w:rPr>
        <w:t xml:space="preserve">Next in the build order once Mega Project 1's real-run results are confirmed: Mega Project 2 — Risk Profiling &amp; Segmentation (Problems 2, 5, 8, 9, 10)</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2026-08-31T07:17:50.036Z</dcterms:created>
  <dcterms:modified xsi:type="dcterms:W3CDTF">2026-08-31T07:17:50.036Z</dcterms:modified>
</cp:coreProperties>
</file>

<file path=docProps/custom.xml><?xml version="1.0" encoding="utf-8"?>
<Properties xmlns="http://schemas.openxmlformats.org/officeDocument/2006/custom-properties" xmlns:vt="http://schemas.openxmlformats.org/officeDocument/2006/docPropsVTypes"/>
</file>