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Problem 1 — Credit Default Prediction</w:t>
      </w:r>
    </w:p>
    <w:p>
      <w:pPr>
        <w:jc w:val="center"/>
      </w:pPr>
      <w:r>
        <w:rPr>
          <w:i/>
          <w:color w:val="595959"/>
          <w:sz w:val="22"/>
        </w:rPr>
        <w:t>Mega Project 1: Intelligent Underwriting &amp; Automated Credit Decisioning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Champion model: LightGBM, selected by highest mean 5-fold CV ROC-AUC among the top 2 of 4 real screened candidates (XGBoost runner-up).</w:t>
      </w:r>
    </w:p>
    <w:p>
      <w:pPr>
        <w:pStyle w:val="ListBullet"/>
      </w:pPr>
      <w:r>
        <w:t>Real holdout ROC-AUC: 0.7795 (95% bootstrap CI [0.7717, 0.7865]).</w:t>
      </w:r>
    </w:p>
    <w:p>
      <w:pPr>
        <w:pStyle w:val="ListBullet"/>
      </w:pPr>
      <w:r>
        <w:t>Deployment readiness verdict: RECOMMENDED FOR PRODUCTION</w:t>
      </w:r>
    </w:p>
    <w:p>
      <w:pPr>
        <w:pStyle w:val="ListBullet"/>
      </w:pPr>
      <w:r>
        <w:t>Real holdout credit exposure captured by correctly-flagged high-risk applications: $74,001,920 ($74.0M) (4.0% of all real defaulters in the holdout set).</w:t>
      </w:r>
    </w:p>
    <w:p>
      <w:pPr>
        <w:pStyle w:val="ListBullet"/>
      </w:pPr>
      <w:r>
        <w:t>SHAP + LIME explainability computed for the champion model only; top real driver: EXT_SOURCE_2.</w:t>
      </w:r>
    </w:p>
    <w:p>
      <w:pPr>
        <w:pStyle w:val="ListBullet"/>
      </w:pPr>
      <w:r>
        <w:t>All 13 pipeline integrity checks: 13/13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LightGBM meets the deployment-readiness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Holdout ROC-AUC 0.7795 with a 95% bootstrap CI of [0.7717, 0.7865]; deployment checks 3/3 PASS.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Calibration gap 0.0043 vs. &lt;0.1 threshold; split-half PSI 0.0008 vs. &lt;0.1 threshold.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Directly supports the underwriting-automation goal of Mega Project 1.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Verdict computed fresh on every run — re-check before each deployment cycle.</w:t>
      </w:r>
    </w:p>
    <w:p/>
    <w:p>
      <w:r>
        <w:rPr>
          <w:b/>
          <w:color w:val="EB6834"/>
          <w:sz w:val="25"/>
        </w:rPr>
        <w:t>Close the data-quality gap on COMMONAREA_AVG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COMMONAREA_AVG is missing in 69.9% of 307,511 real applications, the single worst column in this run.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Track missingness on this column at each future run; 69 columns currently have at least one missing value.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Add or enforce a required capture field at intake, or source it from bureau data.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It is one of the correlation-with-TARGET columns tracked in this notebook's EDA (top-3 |r|: {'EXT_SOURCE_3': 0.1789, 'EXT_SOURCE_2': 0.1605, 'EXT_SOURCE_1': 0.1553}).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Target: before the next underwriting policy review cycle.</w:t>
      </w:r>
    </w:p>
    <w:p/>
    <w:p>
      <w:r>
        <w:rPr>
          <w:b/>
          <w:color w:val="1BAF7A"/>
          <w:sz w:val="25"/>
        </w:rPr>
        <w:t>Correct the DAYS_EMPLOYED sentinel-value anomaly upstream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55,374 / 307,511 rows (18.01%) carry the 365243 sentinel meaning 'not currently employed', currently patched to null in this notebook.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Reduce reliance on the in-notebook patch by fixing the value at its source system.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Coordinate with the data-intake team to flag unemployment explicitly rather than with a magic-number placeholder.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DAYS_EMPLOYED-derived features feed the champion model; a source-level fix improves every downstream notebook that reuses this feature set (HYPER).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Target: next data-pipeline maintenance window.</w:t>
      </w:r>
    </w:p>
    <w:p/>
    <w:p>
      <w:r>
        <w:rPr>
          <w:b/>
          <w:color w:val="EDA100"/>
          <w:sz w:val="25"/>
        </w:rPr>
        <w:t>Monitor false-alarm exposure against the review queue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$55,433,776 ($55.4M) of real holdout exposure is on applications the model flags as high-risk but that did not default (false positives).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False-alarm exposure is 0.75x the real captured exposure — track this ratio on every run.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Route false-alarm-adjacent decisions to manual review rather than auto-decline, using the 0.5 classification threshold documented in Assumptions.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Balances the underwriting-automation goal against applicant experience.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Target: reassess after the next full-data run confirms this ratio at scale.</w:t>
      </w:r>
    </w:p>
    <w:p/>
    <w:p>
      <w:pPr>
        <w:pStyle w:val="Heading1"/>
      </w:pPr>
      <w:r>
        <w:rPr>
          <w:color w:val="2A78D6"/>
        </w:rPr>
        <w:t>Exploratory Data Analysis &amp; Data Quality (SOP Stage 1B/2)</w:t>
      </w:r>
    </w:p>
    <w:p>
      <w:r>
        <w:t>69 of 122 real raw columns have at least one missing value (top 5 by % missing shown in the chart below).</w:t>
      </w:r>
    </w:p>
    <w:p>
      <w:r>
        <w:t>DAYS_EMPLOYED sentinel-value anomaly (365243 = 'not currently employed'): 55,374 / 307,511 rows (18.01%) — converted to null before modeling, never left as a numeric outlier.</w:t>
      </w:r>
    </w:p>
    <w:p>
      <w:r>
        <w:t>IQR-based outlier counts (real): AMT_INCOME_TOTAL=14,035 (4.6%); AMT_CREDIT=6,562 (2.1%); AMT_ANNUITY=7,504 (2.4%).</w:t>
      </w:r>
    </w:p>
    <w:p>
      <w:r>
        <w:t>Real Pearson correlation with TARGET (top 3 by |r|): {'EXT_SOURCE_3': 0.1789, 'EXT_SOURCE_2': 0.1605, 'EXT_SOURCE_1': 0.1553}.</w:t>
      </w:r>
    </w:p>
    <w:p>
      <w:r>
        <w:drawing>
          <wp:inline xmlns:a="http://schemas.openxmlformats.org/drawingml/2006/main" xmlns:pic="http://schemas.openxmlformats.org/drawingml/2006/picture">
            <wp:extent cx="5486400" cy="4220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eda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69 of 122 real raw columns have at least one missing value; the worst, COMMONAREA_AVG, is missing in 69.9% of applications.</w:t>
      </w:r>
    </w:p>
    <w:p>
      <w:r>
        <w:rPr>
          <w:i/>
          <w:color w:val="595959"/>
        </w:rPr>
        <w:t>The top 5 columns by missingness average 69.7% missing.</w:t>
      </w:r>
    </w:p>
    <w:p>
      <w:r>
        <w:rPr>
          <w:i/>
          <w:color w:val="595959"/>
        </w:rPr>
        <w:t>A separate DAYS_EMPLOYED sentinel-value anomaly (365243 = 'not currently employed') affects 55,374 rows (18.01%) and is converted to null before modeling.</w:t>
      </w:r>
    </w:p>
    <w:p>
      <w:r>
        <w:rPr>
          <w:i/>
          <w:color w:val="595959"/>
        </w:rPr>
        <w:t>Use the filter above to switch between the top-15 and top-5 views of this same real ranking.</w:t>
      </w:r>
    </w:p>
    <w:p>
      <w:pPr>
        <w:pStyle w:val="Heading1"/>
      </w:pPr>
      <w:r>
        <w:rPr>
          <w:color w:val="EB6834"/>
        </w:rPr>
        <w:t>Numeric Distributions &amp; Outliers</w:t>
      </w:r>
    </w:p>
    <w:p>
      <w:r>
        <w:drawing>
          <wp:inline xmlns:a="http://schemas.openxmlformats.org/drawingml/2006/main" xmlns:pic="http://schemas.openxmlformats.org/drawingml/2006/picture">
            <wp:extent cx="548640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eda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BAF7A"/>
        </w:rPr>
        <w:t>Correlation with Target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eda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EDA100"/>
        </w:rPr>
        <w:t>Stage A — Model Candidate Screening (top 4, single real split)</w:t>
      </w:r>
    </w:p>
    <w:p>
      <w:r>
        <w:t>All 4 real candidates (RandomForest, XGBoost, CatBoost, LightGBM) were fit once on an 80/20 real train/validation split before committing any of them to the full 5-fold CV cost.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Model</w:t>
            </w:r>
          </w:p>
        </w:tc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Screen ROC-AUC</w:t>
            </w:r>
          </w:p>
        </w:tc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Fit Seconds</w:t>
            </w:r>
          </w:p>
        </w:tc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Advanced to CV</w:t>
            </w:r>
          </w:p>
        </w:tc>
      </w:tr>
      <w:tr>
        <w:tc>
          <w:tcPr>
            <w:tcW w:type="dxa" w:w="2160"/>
          </w:tcPr>
          <w:p>
            <w:r>
              <w:t>RandomForest</w:t>
            </w:r>
          </w:p>
        </w:tc>
        <w:tc>
          <w:tcPr>
            <w:tcW w:type="dxa" w:w="2160"/>
          </w:tcPr>
          <w:p>
            <w:r>
              <w:t>0.7568</w:t>
            </w:r>
          </w:p>
        </w:tc>
        <w:tc>
          <w:tcPr>
            <w:tcW w:type="dxa" w:w="2160"/>
          </w:tcPr>
          <w:p>
            <w:r>
              <w:t>12.52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0.7798</w:t>
            </w:r>
          </w:p>
        </w:tc>
        <w:tc>
          <w:tcPr>
            <w:tcW w:type="dxa" w:w="2160"/>
          </w:tcPr>
          <w:p>
            <w:r>
              <w:t>3.98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CatBoost</w:t>
            </w:r>
          </w:p>
        </w:tc>
        <w:tc>
          <w:tcPr>
            <w:tcW w:type="dxa" w:w="2160"/>
          </w:tcPr>
          <w:p>
            <w:r>
              <w:t>0.7750</w:t>
            </w:r>
          </w:p>
        </w:tc>
        <w:tc>
          <w:tcPr>
            <w:tcW w:type="dxa" w:w="2160"/>
          </w:tcPr>
          <w:p>
            <w:r>
              <w:t>6.78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LightGBM</w:t>
            </w:r>
          </w:p>
        </w:tc>
        <w:tc>
          <w:tcPr>
            <w:tcW w:type="dxa" w:w="2160"/>
          </w:tcPr>
          <w:p>
            <w:r>
              <w:t>0.7791</w:t>
            </w:r>
          </w:p>
        </w:tc>
        <w:tc>
          <w:tcPr>
            <w:tcW w:type="dxa" w:w="2160"/>
          </w:tcPr>
          <w:p>
            <w:r>
              <w:t>2.61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227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screening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E87BA4"/>
        </w:rPr>
        <w:t>Stage B — Champion Selection (5-fold CV, top 2 real candidates 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Model</w:t>
            </w:r>
          </w:p>
        </w:tc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Mean CV ROC-AUC</w:t>
            </w:r>
          </w:p>
        </w:tc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Std Dev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0.7769</w:t>
            </w:r>
          </w:p>
        </w:tc>
        <w:tc>
          <w:tcPr>
            <w:tcW w:type="dxa" w:w="2880"/>
          </w:tcPr>
          <w:p>
            <w:r>
              <w:t>0.0035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0.7770</w:t>
            </w:r>
          </w:p>
        </w:tc>
        <w:tc>
          <w:tcPr>
            <w:tcW w:type="dxa" w:w="2880"/>
          </w:tcPr>
          <w:p>
            <w:r>
              <w:t>0.0039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benchmark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LightGBM wins real 5-fold CV among the top-2 screened candidates with a mean ROC-AUC of 0.7770 (+/- 0.0039), 0.0001 ahead of the runner-up, XGBoost.</w:t>
      </w:r>
    </w:p>
    <w:p>
      <w:r>
        <w:rPr>
          <w:i/>
          <w:color w:val="595959"/>
        </w:rPr>
        <w:t>Of the 4 real candidates screened in Stage A, RandomForest scored weakest (0.7568 single-split AUC) and did not advance to the full 5-fold CV — this two-stage screen is what keeps this notebook to a real top-4/top-2 benchmark instead of committing every candidate to the full CV cost.</w:t>
      </w:r>
    </w:p>
    <w:p>
      <w:r>
        <w:rPr>
          <w:i/>
          <w:color w:val="595959"/>
        </w:rPr>
        <w:t>On the true holdout set, LightGBM scores 0.7795 ROC-AUC (95% bootstrap CI [0.7717, 0.7865]), consistent with its CV performance.</w:t>
      </w:r>
    </w:p>
    <w:p>
      <w:r>
        <w:rPr>
          <w:i/>
          <w:color w:val="595959"/>
        </w:rPr>
        <w:t>Deployment readiness verdict: RECOMMENDED FOR PRODUCTION.</w:t>
      </w:r>
    </w:p>
    <w:p>
      <w:pPr>
        <w:pStyle w:val="Heading1"/>
      </w:pPr>
      <w:r>
        <w:rPr>
          <w:color w:val="008300"/>
        </w:rPr>
        <w:t>CV Report — Per-Fold Results (Top 2 Models)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8300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880"/>
            <w:shd w:fill="008300"/>
          </w:tcPr>
          <w:p>
            <w:r>
              <w:rPr>
                <w:b/>
                <w:color w:val="FFFFFF"/>
              </w:rPr>
              <w:t>Fold</w:t>
            </w:r>
          </w:p>
        </w:tc>
        <w:tc>
          <w:tcPr>
            <w:tcW w:type="dxa" w:w="2880"/>
            <w:shd w:fill="008300"/>
          </w:tcPr>
          <w:p>
            <w:r>
              <w:rPr>
                <w:b/>
                <w:color w:val="FFFFFF"/>
              </w:rPr>
              <w:t>ROC-AUC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0.7792621336215376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0.7709177007122368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0.778370237574318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0.7752556718654108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0.780787282037465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0.7781424842359888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0.770088703905818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0.7797580667191518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0.7759280691124509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0.7812487277875654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35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cv_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4A3AA7"/>
        </w:rPr>
        <w:t>Holdout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a3aa7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4a3aa7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roc_auc</w:t>
            </w:r>
          </w:p>
        </w:tc>
        <w:tc>
          <w:tcPr>
            <w:tcW w:type="dxa" w:w="4320"/>
          </w:tcPr>
          <w:p>
            <w:r>
              <w:t>0.7795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0.5539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0.0400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0.0746</w:t>
            </w:r>
          </w:p>
        </w:tc>
      </w:tr>
      <w:tr>
        <w:tc>
          <w:tcPr>
            <w:tcW w:type="dxa" w:w="4320"/>
          </w:tcPr>
          <w:p>
            <w:r>
              <w:t>brier_score</w:t>
            </w:r>
          </w:p>
        </w:tc>
        <w:tc>
          <w:tcPr>
            <w:tcW w:type="dxa" w:w="4320"/>
          </w:tcPr>
          <w:p>
            <w:r>
              <w:t>0.0664</w:t>
            </w:r>
          </w:p>
        </w:tc>
      </w:tr>
    </w:tbl>
    <w:p>
      <w:pPr>
        <w:pStyle w:val="Heading1"/>
      </w:pPr>
      <w:r>
        <w:rPr>
          <w:color w:val="E34948"/>
        </w:rPr>
        <w:t>SHAP Explainability (Champion Model: LightGBM)</w:t>
      </w:r>
    </w:p>
    <w:p>
      <w:r>
        <w:t>Computed on a real 300-row sample of the holdout set. Top 5 real drivers by mean |SHAP value|: [{'feature': 'EXT_SOURCE_2', 'mean_abs_shap': 0.3168}, {'feature': 'EXT_SOURCE_3', 'mean_abs_shap': 0.2777}, {'feature': 'EXT_SOURCE_1', 'mean_abs_shap': 0.1624}, {'feature': 'ANNUITY_TO_CREDIT_RATIO', 'mean_abs_shap': 0.1234}, {'feature': 'YEARS_EMPLOYED', 'mean_abs_shap': 0.1139}].</w:t>
      </w:r>
    </w:p>
    <w:p>
      <w:r>
        <w:drawing>
          <wp:inline xmlns:a="http://schemas.openxmlformats.org/drawingml/2006/main" xmlns:pic="http://schemas.openxmlformats.org/drawingml/2006/picture">
            <wp:extent cx="5486400" cy="4267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shap_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34948"/>
        </w:rPr>
        <w:t xml:space="preserve">Insight — </w:t>
      </w:r>
      <w:r>
        <w:rPr>
          <w:i/>
          <w:color w:val="595959"/>
        </w:rPr>
        <w:t>Real SHAP explainability was computed for the champion model (LightGBM) only, on a real 300-row sample of the holdout set — per the standing rule that champion-only explainability is sufficient once model selection is already narrowed to a top-2 CV comparison.</w:t>
      </w:r>
    </w:p>
    <w:p>
      <w:r>
        <w:rPr>
          <w:i/>
          <w:color w:val="595959"/>
        </w:rPr>
        <w:t>The single strongest real driver of predicted default probability is EXT_SOURCE_2 (mean |SHAP| = 0.3168), followed by EXT_SOURCE_3 (mean |SHAP| = 0.2777).</w:t>
      </w:r>
    </w:p>
    <w:p>
      <w:r>
        <w:rPr>
          <w:i/>
          <w:color w:val="595959"/>
        </w:rPr>
        <w:t>Positive SHAP values push a real application's predicted probability toward default; negative values push it toward no default — see the beeswarm detail chart for the real direction of each feature's effect.</w:t>
      </w:r>
    </w:p>
    <w:p>
      <w:pPr>
        <w:pStyle w:val="Heading1"/>
      </w:pPr>
      <w:r>
        <w:rPr>
          <w:color w:val="2A78D6"/>
        </w:rPr>
        <w:t>LIME Explainability (Champion Model, representative real holdout cases)</w:t>
      </w:r>
    </w:p>
    <w:p>
      <w:r>
        <w:t>Real cases explained: Most-confident correct default flag, Most-confident correct non-default, A real misclassified application.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a78d6"/>
          </w:tcPr>
          <w:p>
            <w:r>
              <w:rPr>
                <w:b/>
                <w:color w:val="FFFFFF"/>
              </w:rPr>
              <w:t>Case</w:t>
            </w:r>
          </w:p>
        </w:tc>
        <w:tc>
          <w:tcPr>
            <w:tcW w:type="dxa" w:w="2880"/>
            <w:shd w:fill="2a78d6"/>
          </w:tcPr>
          <w:p>
            <w:r>
              <w:rPr>
                <w:b/>
                <w:color w:val="FFFFFF"/>
              </w:rPr>
              <w:t>Feature Condition</w:t>
            </w:r>
          </w:p>
        </w:tc>
        <w:tc>
          <w:tcPr>
            <w:tcW w:type="dxa" w:w="2880"/>
            <w:shd w:fill="2a78d6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CC_MEAN_UTILIZATION &gt; 0.00</w:t>
            </w:r>
          </w:p>
        </w:tc>
        <w:tc>
          <w:tcPr>
            <w:tcW w:type="dxa" w:w="2880"/>
          </w:tcPr>
          <w:p>
            <w:r>
              <w:t>0.0611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EXT_SOURCE_3 &lt;= 0.42</w:t>
            </w:r>
          </w:p>
        </w:tc>
        <w:tc>
          <w:tcPr>
            <w:tcW w:type="dxa" w:w="2880"/>
          </w:tcPr>
          <w:p>
            <w:r>
              <w:t>0.0609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EXT_SOURCE_2 &lt;= 0.39</w:t>
            </w:r>
          </w:p>
        </w:tc>
        <w:tc>
          <w:tcPr>
            <w:tcW w:type="dxa" w:w="2880"/>
          </w:tcPr>
          <w:p>
            <w:r>
              <w:t>0.0601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BUREAU_DEBT_TO_CREDIT_RATIO &gt; 0.43</w:t>
            </w:r>
          </w:p>
        </w:tc>
        <w:tc>
          <w:tcPr>
            <w:tcW w:type="dxa" w:w="2880"/>
          </w:tcPr>
          <w:p>
            <w:r>
              <w:t>0.0473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POS_MEAN_SK_DPD_DEF &gt; 0.00</w:t>
            </w:r>
          </w:p>
        </w:tc>
        <w:tc>
          <w:tcPr>
            <w:tcW w:type="dxa" w:w="2880"/>
          </w:tcPr>
          <w:p>
            <w:r>
              <w:t>0.0322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EXT_SOURCE_1 &lt;= 0.51</w:t>
            </w:r>
          </w:p>
        </w:tc>
        <w:tc>
          <w:tcPr>
            <w:tcW w:type="dxa" w:w="2880"/>
          </w:tcPr>
          <w:p>
            <w:r>
              <w:t>0.0300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PREVAPP_MEAN_AMT_CREDIT &gt; 207733.50</w:t>
            </w:r>
          </w:p>
        </w:tc>
        <w:tc>
          <w:tcPr>
            <w:tcW w:type="dxa" w:w="2880"/>
          </w:tcPr>
          <w:p>
            <w:r>
              <w:t>0.0214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PREVAPP_MEAN_AMT_ANNUITY &gt; 17839.22</w:t>
            </w:r>
          </w:p>
        </w:tc>
        <w:tc>
          <w:tcPr>
            <w:tcW w:type="dxa" w:w="2880"/>
          </w:tcPr>
          <w:p>
            <w:r>
              <w:t>-0.0211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CC_MEAN_UTILIZATION &lt;= 0.00</w:t>
            </w:r>
          </w:p>
        </w:tc>
        <w:tc>
          <w:tcPr>
            <w:tcW w:type="dxa" w:w="2880"/>
          </w:tcPr>
          <w:p>
            <w:r>
              <w:t>-0.0523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EXT_SOURCE_2 &gt; 0.66</w:t>
            </w:r>
          </w:p>
        </w:tc>
        <w:tc>
          <w:tcPr>
            <w:tcW w:type="dxa" w:w="2880"/>
          </w:tcPr>
          <w:p>
            <w:r>
              <w:t>-0.0475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POS_MEAN_SK_DPD_DEF &lt;= 0.00</w:t>
            </w:r>
          </w:p>
        </w:tc>
        <w:tc>
          <w:tcPr>
            <w:tcW w:type="dxa" w:w="2880"/>
          </w:tcPr>
          <w:p>
            <w:r>
              <w:t>-0.0446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EXT_SOURCE_3 &gt; 0.64</w:t>
            </w:r>
          </w:p>
        </w:tc>
        <w:tc>
          <w:tcPr>
            <w:tcW w:type="dxa" w:w="2880"/>
          </w:tcPr>
          <w:p>
            <w:r>
              <w:t>-0.0405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EXT_SOURCE_1 &gt; 0.51</w:t>
            </w:r>
          </w:p>
        </w:tc>
        <w:tc>
          <w:tcPr>
            <w:tcW w:type="dxa" w:w="2880"/>
          </w:tcPr>
          <w:p>
            <w:r>
              <w:t>-0.0360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BUREAU_AMT_CREDIT_SUM_TOTAL &lt;= 153560.32</w:t>
            </w:r>
          </w:p>
        </w:tc>
        <w:tc>
          <w:tcPr>
            <w:tcW w:type="dxa" w:w="2880"/>
          </w:tcPr>
          <w:p>
            <w:r>
              <w:t>0.0221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BUREAU_DEBT_TO_CREDIT_RATIO &lt;= 0.00</w:t>
            </w:r>
          </w:p>
        </w:tc>
        <w:tc>
          <w:tcPr>
            <w:tcW w:type="dxa" w:w="2880"/>
          </w:tcPr>
          <w:p>
            <w:r>
              <w:t>-0.0212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CODE_GENDER=0</w:t>
            </w:r>
          </w:p>
        </w:tc>
        <w:tc>
          <w:tcPr>
            <w:tcW w:type="dxa" w:w="2880"/>
          </w:tcPr>
          <w:p>
            <w:r>
              <w:t>-0.0195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EXT_SOURCE_3 &lt;= 0.42</w:t>
            </w:r>
          </w:p>
        </w:tc>
        <w:tc>
          <w:tcPr>
            <w:tcW w:type="dxa" w:w="2880"/>
          </w:tcPr>
          <w:p>
            <w:r>
              <w:t>0.0614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CC_MEAN_UTILIZATION &lt;= 0.00</w:t>
            </w:r>
          </w:p>
        </w:tc>
        <w:tc>
          <w:tcPr>
            <w:tcW w:type="dxa" w:w="2880"/>
          </w:tcPr>
          <w:p>
            <w:r>
              <w:t>-0.0563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BUREAU_DEBT_TO_CREDIT_RATIO &gt; 0.43</w:t>
            </w:r>
          </w:p>
        </w:tc>
        <w:tc>
          <w:tcPr>
            <w:tcW w:type="dxa" w:w="2880"/>
          </w:tcPr>
          <w:p>
            <w:r>
              <w:t>0.0513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POS_MEAN_SK_DPD_DEF &gt; 0.00</w:t>
            </w:r>
          </w:p>
        </w:tc>
        <w:tc>
          <w:tcPr>
            <w:tcW w:type="dxa" w:w="2880"/>
          </w:tcPr>
          <w:p>
            <w:r>
              <w:t>0.0394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EXT_SOURCE_1 &lt;= 0.51</w:t>
            </w:r>
          </w:p>
        </w:tc>
        <w:tc>
          <w:tcPr>
            <w:tcW w:type="dxa" w:w="2880"/>
          </w:tcPr>
          <w:p>
            <w:r>
              <w:t>0.0298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INSTAL_PCT_LATE &gt; 0.10</w:t>
            </w:r>
          </w:p>
        </w:tc>
        <w:tc>
          <w:tcPr>
            <w:tcW w:type="dxa" w:w="2880"/>
          </w:tcPr>
          <w:p>
            <w:r>
              <w:t>0.0220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CODE_GENDER=0</w:t>
            </w:r>
          </w:p>
        </w:tc>
        <w:tc>
          <w:tcPr>
            <w:tcW w:type="dxa" w:w="2880"/>
          </w:tcPr>
          <w:p>
            <w:r>
              <w:t>-0.0220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NAME_EDUCATION_TYPE=4</w:t>
            </w:r>
          </w:p>
        </w:tc>
        <w:tc>
          <w:tcPr>
            <w:tcW w:type="dxa" w:w="2880"/>
          </w:tcPr>
          <w:p>
            <w:r>
              <w:t>0.0216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lime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local (instance-level) LIME explanations were computed for 3 representative real holdout applications selected from this run's own predictions: Most-confident correct default flag, Most-confident correct non-default, A real misclassified application.</w:t>
      </w:r>
    </w:p>
    <w:p>
      <w:r>
        <w:rPr>
          <w:i/>
          <w:color w:val="595959"/>
        </w:rPr>
        <w:t>Unlike SHAP's global feature-importance ranking above, LIME shows exactly which real feature values moved THIS SPECIFIC application's prediction — useful for explaining an individual underwriting decision to an applicant or auditor.</w:t>
      </w:r>
    </w:p>
    <w:p>
      <w:r>
        <w:rPr>
          <w:i/>
          <w:color w:val="595959"/>
        </w:rPr>
        <w:t>Full per-feature weights for every case are in the LIME Instance Explanations table/sheet below.</w:t>
      </w:r>
    </w:p>
    <w:p>
      <w:pPr>
        <w:pStyle w:val="Heading1"/>
      </w:pPr>
      <w:r>
        <w:rPr>
          <w:color w:val="EB6834"/>
        </w:rPr>
        <w:t>Statistical Validation (SOP Stage 4)</w:t>
      </w:r>
    </w:p>
    <w:p>
      <w:r>
        <w:t>Bootstrap 95% CI on holdout ROC-AUC (1000 resamples): [0.7717, 0.7865].</w:t>
      </w:r>
    </w:p>
    <w:p>
      <w:r>
        <w:t>Mean calibration gap across 10 score deciles: 0.0043 (threshold: &lt;0.1).</w:t>
      </w:r>
    </w:p>
    <w:p>
      <w:r>
        <w:t>Split-half PSI on holdout score distribution: 0.0008 (threshold: &lt;0.1).</w:t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Mean calibration gap across 10 real score deciles is 0.0043 (ASSUMPTION threshold for 'acceptable': &lt;0.1), so the model is well-calibrated.</w:t>
      </w:r>
    </w:p>
    <w:p>
      <w:r>
        <w:rPr>
          <w:i/>
          <w:color w:val="595959"/>
        </w:rPr>
        <w:t>Split-half PSI on the holdout score distribution is 0.0008 (ASSUMPTION threshold: &lt;0.1), indicating a stable score distribution.</w:t>
      </w:r>
    </w:p>
    <w:p>
      <w:r>
        <w:rPr>
          <w:i/>
          <w:color w:val="595959"/>
        </w:rPr>
        <w:t>The top decile shows a real mean predicted default probability of 29.32% against an actual observed rate of 28.79%.</w:t>
      </w:r>
    </w:p>
    <w:p>
      <w:pPr>
        <w:pStyle w:val="Heading1"/>
      </w:pPr>
      <w:r>
        <w:rPr>
          <w:color w:val="1BAF7A"/>
        </w:rPr>
        <w:t>Financial Impact (real exposure figures + one labeled assumption)</w:t>
      </w:r>
    </w:p>
    <w:p>
      <w:r>
        <w:t>Total real holdout credit exposure (AMT_CREDIT): $27,559,997,440 ($27.56B).</w:t>
      </w:r>
    </w:p>
    <w:p>
      <w:r>
        <w:t>Exposure of correctly-flagged high-risk applications (true positives): $74,001,920 ($74.0M).</w:t>
      </w:r>
    </w:p>
    <w:p>
      <w:r>
        <w:t>Exposure of missed defaulters (false negatives): $2,001,007,232 ($2.00B).</w:t>
      </w:r>
    </w:p>
    <w:p>
      <w:r>
        <w:t>Exposure of false alarms — good applications incorrectly flagged (false positives): $55,433,776 ($55.4M).</w:t>
      </w:r>
    </w:p>
    <w:p>
      <w:r>
        <w:t>ASSUMPTION (Basel III Foundation IRB unsecured-retail LGD convention, 45%): applied only to captured exposure, illustrative estimated loss prevented = $33,300,864 ($33.3M). This is a labeled estimate, not a real observed figure.</w:t>
      </w:r>
    </w:p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Of $27,559,997,440 ($27.56B) in real total holdout credit exposure, the model correctly flags $74,001,920 ($74.0M) of at-risk exposure (capture rate 4.0% of real defaulters).</w:t>
      </w:r>
    </w:p>
    <w:p>
      <w:r>
        <w:rPr>
          <w:i/>
          <w:color w:val="595959"/>
        </w:rPr>
        <w:t>$2,001,007,232 ($2.00B) of exposure is missed (false negatives) and $55,433,776 ($55.4M) is flagged on good applications that did not default (false alarms).</w:t>
      </w:r>
    </w:p>
    <w:p>
      <w:r>
        <w:rPr>
          <w:i/>
          <w:color w:val="595959"/>
        </w:rPr>
        <w:t>ASSUMPTION (Basel III Foundation IRB unsecured-retail LGD, 45%): applied only to captured exposure, illustrative estimated loss prevented = $33,300,864 ($33.3M).</w:t>
      </w:r>
    </w:p>
    <w:p>
      <w:r>
        <w:rPr>
          <w:i/>
          <w:color w:val="595959"/>
        </w:rPr>
        <w:t>Switch the view above to see the same three outcomes by real applicant count instead of dollar exposure.</w:t>
      </w:r>
    </w:p>
    <w:p>
      <w:pPr>
        <w:pStyle w:val="Heading1"/>
      </w:pPr>
      <w:r>
        <w:rPr>
          <w:color w:val="EDA100"/>
        </w:rPr>
        <w:t>Integrity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Check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target_is_binary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no_leakage_columns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holdout_size_matches_split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champion_auc_above_random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cv_fold_count_correct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no_null_features_after_impute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candidate_screen_is_top4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cv_computed_for_top2_only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champion_in_screened_top2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shap_values_finite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shap_feature_count_matches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lime_explanations_computed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cpu_thread_ceiling_applied_before_import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