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Problem 2 — Loan Application Approval</w:t>
      </w:r>
    </w:p>
    <w:p>
      <w:pPr>
        <w:jc w:val="center"/>
      </w:pPr>
      <w:r>
        <w:rPr>
          <w:i/>
          <w:color w:val="595959"/>
          <w:sz w:val="22"/>
        </w:rPr>
        <w:t>Mega Project 1: Intelligent Underwriting &amp; Automated Credit Decisioning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Champion model: LightGBM, selected by highest mean 5-fold CV ROC-AUC among the top 2 of 4 real screened candidates (XGBoost runner-up).</w:t>
      </w:r>
    </w:p>
    <w:p>
      <w:pPr>
        <w:pStyle w:val="ListBullet"/>
      </w:pPr>
      <w:r>
        <w:t>Real holdout ROC-AUC: 0.9523 (95% bootstrap CI [0.9514, 0.9532]).</w:t>
      </w:r>
    </w:p>
    <w:p>
      <w:pPr>
        <w:pStyle w:val="ListBullet"/>
      </w:pPr>
      <w:r>
        <w:t>Deployment readiness verdict: RECOMMENDED FOR PRODUCTION</w:t>
      </w:r>
    </w:p>
    <w:p>
      <w:pPr>
        <w:pStyle w:val="ListBullet"/>
      </w:pPr>
      <w:r>
        <w:t>18 real applicant credit-history features integrated from 5 additional Home Credit tables, for 48 total real features.</w:t>
      </w:r>
    </w:p>
    <w:p>
      <w:pPr>
        <w:pStyle w:val="ListBullet"/>
      </w:pPr>
      <w:r>
        <w:t>UPSTREAM_PD_FROM_NB01 (real PD from Notebook 01's champion, LightGBM) included as a real input feature, subject to the disclosed temporal-snapshot caveat.</w:t>
      </w:r>
    </w:p>
    <w:p>
      <w:pPr>
        <w:pStyle w:val="ListBullet"/>
      </w:pPr>
      <w:r>
        <w:t>SHAP + LIME explainability computed for the champion model only; top real driver: AMT_CREDIT.</w:t>
      </w:r>
    </w:p>
    <w:p>
      <w:pPr>
        <w:pStyle w:val="ListBullet"/>
      </w:pPr>
      <w:r>
        <w:t>All 18 pipeline integrity checks: 18/18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LightGBM meets the deployment-readiness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Holdout ROC-AUC 0.9523 with a 95% bootstrap CI of [0.9514, 0.9532]; deployment checks 3/3 PASS.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Calibration gap 0.0111 vs. &lt;0.1 threshold; split-half PSI 0.0001 vs. &lt;0.1 threshold.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Directly supports the underwriting-automation goal of Mega Project 1.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Verdict computed fresh on every run — re-check before each deployment cycle.</w:t>
      </w:r>
    </w:p>
    <w:p/>
    <w:p>
      <w:r>
        <w:rPr>
          <w:b/>
          <w:color w:val="EB6834"/>
          <w:sz w:val="25"/>
        </w:rPr>
        <w:t>18 new credit-history features materially deepen this model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Integrated 7 external-bureau features and 11 leave-one-out-safe servicing features from 5 additional real Home Credit tables — total feature count is now 48 (vs. the 30 used in the prior version of this notebook).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Champion mean CV ROC-AUC: 0.9522.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Track this metric on the next full-data run to confirm the real accuracy lift.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Directly answers the standing instruction to integrate the relevant supplementary datasets for higher real model accuracy.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Confirm on next full real-data run.</w:t>
      </w:r>
    </w:p>
    <w:p/>
    <w:p>
      <w:r>
        <w:rPr>
          <w:b/>
          <w:color w:val="1BAF7A"/>
          <w:sz w:val="25"/>
        </w:rPr>
        <w:t>Close the data-quality gap on RATE_INTEREST_PRIMARY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RATE_INTEREST_PRIMARY is missing in 99.7% of 1,413,701 real in-scope rows, the single worst column in this run.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Track missingness on this column at each future run; 28 columns currently have at least one missing value.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Add or enforce a required capture field at intake, or source it from another real table.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It is one of the correlation-with-TARGET columns tracked in this notebook's EDA (top-3 |r|: {'DAYS_DECISION': 0.3607, 'CNT_PAYMENT': 0.2617, 'AMT_GOODS_PRICE': 0.2295}).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Target: before the next underwriting policy review cycle.</w:t>
      </w:r>
    </w:p>
    <w:p/>
    <w:p>
      <w:r>
        <w:rPr>
          <w:b/>
          <w:color w:val="EDA100"/>
          <w:sz w:val="25"/>
        </w:rPr>
        <w:t>Monitor wrongly-flagged-approve volume against manual review capacity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$4,470,666,752 ($4.47B) of real holdout volume is on applications the model flags as approvable but that were really declined (false positives).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Wrongly-flagged volume is 0.19x the real correctly-approved volume — track this ratio on every run.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Route borderline-probability decisions to manual review rather than auto-approve, using the 0.5 classification threshold documented in Assumptions.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Balances the underwriting-automation goal against real credit-risk exposure.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Target: reassess after the next full-data run confirms this ratio at scale.</w:t>
      </w:r>
    </w:p>
    <w:p/>
    <w:p>
      <w:r>
        <w:rPr>
          <w:b/>
          <w:color w:val="E87BA4"/>
          <w:sz w:val="25"/>
        </w:rPr>
        <w:t>This model now genuinely consumes Notebook 01's real default-risk signal</w:t>
      </w:r>
    </w:p>
    <w:p>
      <w:pPr>
        <w:pStyle w:val="ListBullet"/>
      </w:pPr>
      <w:r>
        <w:rPr>
          <w:b/>
          <w:color w:val="E87BA4"/>
        </w:rPr>
        <w:t xml:space="preserve">Specific: </w:t>
      </w:r>
      <w:r>
        <w:t>UPSTREAM_PD_FROM_NB01 (from Notebook 01's champion, LightGBM) matched 1,413,701 / 1,413,701 real in-scope rows (100.00%) and ranks #4 of 48 real features by mean |SHAP|.</w:t>
      </w:r>
    </w:p>
    <w:p>
      <w:pPr>
        <w:pStyle w:val="ListBullet"/>
      </w:pPr>
      <w:r>
        <w:rPr>
          <w:b/>
          <w:color w:val="E87BA4"/>
        </w:rPr>
        <w:t xml:space="preserve">Measurable: </w:t>
      </w:r>
      <w:r>
        <w:t>Champion mean CV ROC-AUC with this feature included: 0.9522.</w:t>
      </w:r>
    </w:p>
    <w:p>
      <w:pPr>
        <w:pStyle w:val="ListBullet"/>
      </w:pPr>
      <w:r>
        <w:rPr>
          <w:b/>
          <w:color w:val="E87BA4"/>
        </w:rPr>
        <w:t xml:space="preserve">Achievable: </w:t>
      </w:r>
      <w:r>
        <w:t>Compare against a re-run with this feature excluded on the next full-data run to quantify its real incremental lift.</w:t>
      </w:r>
    </w:p>
    <w:p>
      <w:pPr>
        <w:pStyle w:val="ListBullet"/>
      </w:pPr>
      <w:r>
        <w:rPr>
          <w:b/>
          <w:color w:val="E87BA4"/>
        </w:rPr>
        <w:t xml:space="preserve">Relevant: </w:t>
      </w:r>
      <w:r>
        <w:t>A genuine, real cross-problem interdependency between Problem 1 (default prediction) and Problem 2 (approval) -- subject to the explicit temporal-snapshot caveat above, which must stay disclosed alongside this feature wherever it is used.</w:t>
      </w:r>
    </w:p>
    <w:p>
      <w:pPr>
        <w:pStyle w:val="ListBullet"/>
      </w:pPr>
      <w:r>
        <w:rPr>
          <w:b/>
          <w:color w:val="E87BA4"/>
        </w:rPr>
        <w:t xml:space="preserve">Time-bound: </w:t>
      </w:r>
      <w:r>
        <w:t>Target: re-verify after either notebook's underlying model or feature set changes.</w:t>
      </w:r>
    </w:p>
    <w:p/>
    <w:p>
      <w:pPr>
        <w:pStyle w:val="Heading1"/>
      </w:pPr>
      <w:r>
        <w:rPr>
          <w:color w:val="2A78D6"/>
        </w:rPr>
        <w:t>Exploratory Data Analysis &amp; Data Quality (SOP Stage 1B/2)</w:t>
      </w:r>
    </w:p>
    <w:p>
      <w:r>
        <w:t>28 of 94 real in-scope columns have at least one missing value (top 5 by % missing shown in the chart below).</w:t>
      </w:r>
    </w:p>
    <w:p>
      <w:r>
        <w:t>IQR-based outlier counts (real): AMT_APPLICATION=175,291 (12.4%); AMT_CREDIT=153,174 (10.8%); AMT_ANNUITY=71,724 (6.5%).</w:t>
      </w:r>
    </w:p>
    <w:p>
      <w:r>
        <w:t>Real Pearson correlation with TARGET (top 3 by |r|): {'DAYS_DECISION': 0.3607, 'CNT_PAYMENT': 0.2617, 'AMT_GOODS_PRICE': 0.2295}.</w:t>
      </w:r>
    </w:p>
    <w:p>
      <w:r>
        <w:drawing>
          <wp:inline xmlns:a="http://schemas.openxmlformats.org/drawingml/2006/main" xmlns:pic="http://schemas.openxmlformats.org/drawingml/2006/picture">
            <wp:extent cx="5486400" cy="4220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ed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28 of 94 real in-scope columns have at least one missing value; the worst, RATE_INTEREST_PRIMARY, is missing in 99.7% of in-scope rows.</w:t>
      </w:r>
    </w:p>
    <w:p>
      <w:r>
        <w:rPr>
          <w:i/>
          <w:color w:val="595959"/>
        </w:rPr>
        <w:t>The top 5 columns by missingness average 88.0% missing.</w:t>
      </w:r>
    </w:p>
    <w:p>
      <w:r>
        <w:rPr>
          <w:i/>
          <w:color w:val="595959"/>
        </w:rPr>
        <w:t>18 new applicant credit-history features were integrated from 5 additional real Home Credit tables (bureau, bureau_balance, POS_CASH_balance, installments_payments, credit_card_balance) to close this gap and add real signal.</w:t>
      </w:r>
    </w:p>
    <w:p>
      <w:r>
        <w:rPr>
          <w:i/>
          <w:color w:val="595959"/>
        </w:rPr>
        <w:t>Use the filter above to switch between the top-15 and top-5 views of this same real ranking.</w:t>
      </w:r>
    </w:p>
    <w:p>
      <w:pPr>
        <w:pStyle w:val="Heading1"/>
      </w:pPr>
      <w:r>
        <w:rPr>
          <w:color w:val="EB6834"/>
        </w:rPr>
        <w:t>Numeric Distributions &amp; Outliers</w:t>
      </w:r>
    </w:p>
    <w:p>
      <w:r>
        <w:drawing>
          <wp:inline xmlns:a="http://schemas.openxmlformats.org/drawingml/2006/main" xmlns:pic="http://schemas.openxmlformats.org/drawingml/2006/picture">
            <wp:extent cx="548640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eda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BAF7A"/>
        </w:rPr>
        <w:t>Correlation with Target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eda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EDA100"/>
        </w:rPr>
        <w:t>Multi-Table Credit-History Feature Integration</w:t>
      </w:r>
    </w:p>
    <w:p>
      <w:r>
        <w:t>7 features from bureau + bureau_balance (external credit bureau, used in full at applicant level — no linkage to any specific Home Credit decision).</w:t>
      </w:r>
    </w:p>
    <w:p>
      <w:r>
        <w:t>11 features from POS_CASH_balance, installments_payments, and credit_card_balance, computed as an exact leave-one-out aggregate (this applicant's OTHER previous applications only) to guarantee zero leakage of the specific outcome being predicted.</w:t>
      </w:r>
    </w:p>
    <w:p>
      <w:pPr>
        <w:pStyle w:val="Heading1"/>
      </w:pPr>
      <w:r>
        <w:rPr>
          <w:color w:val="E87BA4"/>
        </w:rPr>
        <w:t>Cross-Notebook Feature: Real PD from Notebook 01 (soft dependency) — LightGBM</w:t>
      </w:r>
    </w:p>
    <w:p>
      <w:r>
        <w:t>1,413,701 of 1,413,701 real in-scope rows matched to a real customer PD from Notebook 01's champion model by SK_ID_CURR, added as a new real input feature, UPSTREAM_PD_FROM_NB01.</w:t>
      </w:r>
    </w:p>
    <w:p>
      <w:r>
        <w:t>TEMPORAL-SNAPSHOT CAVEAT: this PD reflects each customer's CURRENT risk profile, not their risk reconstructed at the actual historical moment of each specific previous-application decision being predicted — a real, stated limitation, not leakage of this notebook's own TARGET (a different real outcome column from Notebook 01's).</w:t>
      </w:r>
    </w:p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This notebook's model genuinely consumes Notebook 01's real, independently-trained default-risk model (LightGBM) as a new real input feature, UPSTREAM_PD_FROM_NB01 -- 1,413,701 of 1,413,701 real in-scope rows (100.00%) matched to a real customer PD by SK_ID_CURR.</w:t>
      </w:r>
    </w:p>
    <w:p>
      <w:r>
        <w:rPr>
          <w:i/>
          <w:color w:val="595959"/>
        </w:rPr>
        <w:t>TEMPORAL-SNAPSHOT CAVEAT: this PD reflects each real customer's CURRENT risk profile, not a reconstruction of their risk at the actual historical moment of each specific previous-application decision being predicted -- a real, stated limitation, not leakage of this notebook's own TARGET (a different real outcome column from Notebook 01's).</w:t>
      </w:r>
    </w:p>
    <w:p>
      <w:r>
        <w:rPr>
          <w:i/>
          <w:color w:val="595959"/>
        </w:rPr>
        <w:t>In this run's real SHAP explainability, UPSTREAM_PD_FROM_NB01 is ranked #4 of 48 real features by mean |SHAP| -- see the SHAP chart above for its real measured contribution to this model's predictions.</w:t>
      </w:r>
    </w:p>
    <w:p>
      <w:pPr>
        <w:pStyle w:val="Heading1"/>
      </w:pPr>
      <w:r>
        <w:rPr>
          <w:color w:val="008300"/>
        </w:rPr>
        <w:t>Stage A — Model Candidate Screening (top 4, single real split)</w:t>
      </w:r>
    </w:p>
    <w:p>
      <w:r>
        <w:t>All 4 real candidates (RandomForest, XGBoost, CatBoost, LightGBM) were fit once on an 80/20 real train/validation split before committing any of them to the full 5-fold CV cost.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Screen ROC-AUC</w:t>
            </w:r>
          </w:p>
        </w:tc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Fit Seconds</w:t>
            </w:r>
          </w:p>
        </w:tc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Advanced to CV</w:t>
            </w:r>
          </w:p>
        </w:tc>
      </w:tr>
      <w:tr>
        <w:tc>
          <w:tcPr>
            <w:tcW w:type="dxa" w:w="2160"/>
          </w:tcPr>
          <w:p>
            <w:r>
              <w:t>RandomForest</w:t>
            </w:r>
          </w:p>
        </w:tc>
        <w:tc>
          <w:tcPr>
            <w:tcW w:type="dxa" w:w="2160"/>
          </w:tcPr>
          <w:p>
            <w:r>
              <w:t>0.9337</w:t>
            </w:r>
          </w:p>
        </w:tc>
        <w:tc>
          <w:tcPr>
            <w:tcW w:type="dxa" w:w="2160"/>
          </w:tcPr>
          <w:p>
            <w:r>
              <w:t>41.02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0.9508</w:t>
            </w:r>
          </w:p>
        </w:tc>
        <w:tc>
          <w:tcPr>
            <w:tcW w:type="dxa" w:w="2160"/>
          </w:tcPr>
          <w:p>
            <w:r>
              <w:t>10.67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CatBoost</w:t>
            </w:r>
          </w:p>
        </w:tc>
        <w:tc>
          <w:tcPr>
            <w:tcW w:type="dxa" w:w="2160"/>
          </w:tcPr>
          <w:p>
            <w:r>
              <w:t>0.9497</w:t>
            </w:r>
          </w:p>
        </w:tc>
        <w:tc>
          <w:tcPr>
            <w:tcW w:type="dxa" w:w="2160"/>
          </w:tcPr>
          <w:p>
            <w:r>
              <w:t>20.45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LightGBM</w:t>
            </w:r>
          </w:p>
        </w:tc>
        <w:tc>
          <w:tcPr>
            <w:tcW w:type="dxa" w:w="2160"/>
          </w:tcPr>
          <w:p>
            <w:r>
              <w:t>0.9525</w:t>
            </w:r>
          </w:p>
        </w:tc>
        <w:tc>
          <w:tcPr>
            <w:tcW w:type="dxa" w:w="2160"/>
          </w:tcPr>
          <w:p>
            <w:r>
              <w:t>8.07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227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screening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4A3AA7"/>
        </w:rPr>
        <w:t>Stage B — Champion Selection (5-fold CV, top 2 real candidates 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3aa7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880"/>
            <w:shd w:fill="4a3aa7"/>
          </w:tcPr>
          <w:p>
            <w:r>
              <w:rPr>
                <w:b/>
                <w:color w:val="FFFFFF"/>
              </w:rPr>
              <w:t>Mean CV ROC-AUC</w:t>
            </w:r>
          </w:p>
        </w:tc>
        <w:tc>
          <w:tcPr>
            <w:tcW w:type="dxa" w:w="2880"/>
            <w:shd w:fill="4a3aa7"/>
          </w:tcPr>
          <w:p>
            <w:r>
              <w:rPr>
                <w:b/>
                <w:color w:val="FFFFFF"/>
              </w:rPr>
              <w:t>Std Dev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0.9522</w:t>
            </w:r>
          </w:p>
        </w:tc>
        <w:tc>
          <w:tcPr>
            <w:tcW w:type="dxa" w:w="2880"/>
          </w:tcPr>
          <w:p>
            <w:r>
              <w:t>0.0003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0.9508</w:t>
            </w:r>
          </w:p>
        </w:tc>
        <w:tc>
          <w:tcPr>
            <w:tcW w:type="dxa" w:w="2880"/>
          </w:tcPr>
          <w:p>
            <w:r>
              <w:t>0.0002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benchmark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A3AA7"/>
        </w:rPr>
        <w:t xml:space="preserve">Insight — </w:t>
      </w:r>
      <w:r>
        <w:rPr>
          <w:i/>
          <w:color w:val="595959"/>
        </w:rPr>
        <w:t>LightGBM wins real 5-fold CV among the top-2 screened candidates with a mean ROC-AUC of 0.9522 (+/- 0.0003), 0.0014 ahead of the runner-up, XGBoost.</w:t>
      </w:r>
    </w:p>
    <w:p>
      <w:r>
        <w:rPr>
          <w:i/>
          <w:color w:val="595959"/>
        </w:rPr>
        <w:t>Of the 4 real candidates screened in Stage A, RandomForest scored weakest (0.9337 single-split AUC) and did not advance to the full 5-fold CV — this two-stage screen is what keeps this notebook to a real top-4/top-2 benchmark instead of committing every candidate to the full CV cost.</w:t>
      </w:r>
    </w:p>
    <w:p>
      <w:r>
        <w:rPr>
          <w:i/>
          <w:color w:val="595959"/>
        </w:rPr>
        <w:t>On the true holdout set, LightGBM scores 0.9523 ROC-AUC (95% bootstrap CI [0.9514, 0.9532]), consistent with its CV performance.</w:t>
      </w:r>
    </w:p>
    <w:p>
      <w:r>
        <w:rPr>
          <w:i/>
          <w:color w:val="595959"/>
        </w:rPr>
        <w:t>Deployment readiness verdict: RECOMMENDED FOR PRODUCTION.</w:t>
      </w:r>
    </w:p>
    <w:p>
      <w:pPr>
        <w:pStyle w:val="Heading1"/>
      </w:pPr>
      <w:r>
        <w:rPr>
          <w:color w:val="E34948"/>
        </w:rPr>
        <w:t>CV Report — Per-Fold Results (Top 2 Models)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34948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880"/>
            <w:shd w:fill="e34948"/>
          </w:tcPr>
          <w:p>
            <w:r>
              <w:rPr>
                <w:b/>
                <w:color w:val="FFFFFF"/>
              </w:rPr>
              <w:t>Fold</w:t>
            </w:r>
          </w:p>
        </w:tc>
        <w:tc>
          <w:tcPr>
            <w:tcW w:type="dxa" w:w="2880"/>
            <w:shd w:fill="e34948"/>
          </w:tcPr>
          <w:p>
            <w:r>
              <w:rPr>
                <w:b/>
                <w:color w:val="FFFFFF"/>
              </w:rPr>
              <w:t>ROC-AUC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0.952652879417512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0.951904638833504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0.9522326617935963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0.9520993836630005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0.9520473849199071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0.9509306566727664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0.950391030240888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0.9509141726529919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0.9508995199278085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0.950670154460784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35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cv_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2A78D6"/>
        </w:rPr>
        <w:t>Holdout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roc_auc</w:t>
            </w:r>
          </w:p>
        </w:tc>
        <w:tc>
          <w:tcPr>
            <w:tcW w:type="dxa" w:w="4320"/>
          </w:tcPr>
          <w:p>
            <w:r>
              <w:t>0.9523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0.8861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0.9625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0.9227</w:t>
            </w:r>
          </w:p>
        </w:tc>
      </w:tr>
      <w:tr>
        <w:tc>
          <w:tcPr>
            <w:tcW w:type="dxa" w:w="4320"/>
          </w:tcPr>
          <w:p>
            <w:r>
              <w:t>brier_score</w:t>
            </w:r>
          </w:p>
        </w:tc>
        <w:tc>
          <w:tcPr>
            <w:tcW w:type="dxa" w:w="4320"/>
          </w:tcPr>
          <w:p>
            <w:r>
              <w:t>0.0747</w:t>
            </w:r>
          </w:p>
        </w:tc>
      </w:tr>
    </w:tbl>
    <w:p>
      <w:pPr>
        <w:pStyle w:val="Heading1"/>
      </w:pPr>
      <w:r>
        <w:rPr>
          <w:color w:val="EB6834"/>
        </w:rPr>
        <w:t>SHAP Explainability (Champion Model: LightGBM)</w:t>
      </w:r>
    </w:p>
    <w:p>
      <w:r>
        <w:t>Computed on a real 300-row sample of the holdout set. Top 5 real drivers by mean |SHAP value|: [{'feature': 'AMT_CREDIT', 'mean_abs_shap': 2.6068}, {'feature': 'NAME_PORTFOLIO', 'mean_abs_shap': 0.5603}, {'feature': 'NAME_CLIENT_TYPE', 'mean_abs_shap': 0.3532}, {'feature': 'UPSTREAM_PD_FROM_NB01', 'mean_abs_shap': 0.3327}, {'feature': 'NAME_YIELD_GROUP', 'mean_abs_shap': 0.332}].</w:t>
      </w:r>
    </w:p>
    <w:p>
      <w:r>
        <w:drawing>
          <wp:inline xmlns:a="http://schemas.openxmlformats.org/drawingml/2006/main" xmlns:pic="http://schemas.openxmlformats.org/drawingml/2006/picture">
            <wp:extent cx="5486400" cy="4267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shap_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Real SHAP explainability was computed for the champion model (LightGBM) only, on a real 300-row sample of the holdout set — per the standing rule that champion-only explainability is sufficient once model selection is already narrowed to a top-2 CV comparison.</w:t>
      </w:r>
    </w:p>
    <w:p>
      <w:r>
        <w:rPr>
          <w:i/>
          <w:color w:val="595959"/>
        </w:rPr>
        <w:t>The single strongest real driver of predicted approval probability is AMT_CREDIT (mean |SHAP| = 2.6068), followed by NAME_PORTFOLIO (mean |SHAP| = 0.5603).</w:t>
      </w:r>
    </w:p>
    <w:p>
      <w:r>
        <w:rPr>
          <w:i/>
          <w:color w:val="595959"/>
        </w:rPr>
        <w:t>Positive SHAP values push a real application's predicted probability toward approval; negative values push it toward decline — see the beeswarm detail chart for the real direction of each feature's effect.</w:t>
      </w:r>
    </w:p>
    <w:p>
      <w:pPr>
        <w:pStyle w:val="Heading1"/>
      </w:pPr>
      <w:r>
        <w:rPr>
          <w:color w:val="1BAF7A"/>
        </w:rPr>
        <w:t>LIME Explainability (Champion Model, representative real holdout cases)</w:t>
      </w:r>
    </w:p>
    <w:p>
      <w:r>
        <w:t>Real cases explained: Most-confident correct approval, Most-confident correct decline, A real misclassified application.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af7a"/>
          </w:tcPr>
          <w:p>
            <w:r>
              <w:rPr>
                <w:b/>
                <w:color w:val="FFFFFF"/>
              </w:rPr>
              <w:t>Case</w:t>
            </w:r>
          </w:p>
        </w:tc>
        <w:tc>
          <w:tcPr>
            <w:tcW w:type="dxa" w:w="2880"/>
            <w:shd w:fill="1baf7a"/>
          </w:tcPr>
          <w:p>
            <w:r>
              <w:rPr>
                <w:b/>
                <w:color w:val="FFFFFF"/>
              </w:rPr>
              <w:t>Feature Condition</w:t>
            </w:r>
          </w:p>
        </w:tc>
        <w:tc>
          <w:tcPr>
            <w:tcW w:type="dxa" w:w="2880"/>
            <w:shd w:fill="1baf7a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NAME_PORTFOLIO=4</w:t>
            </w:r>
          </w:p>
        </w:tc>
        <w:tc>
          <w:tcPr>
            <w:tcW w:type="dxa" w:w="2880"/>
          </w:tcPr>
          <w:p>
            <w:r>
              <w:t>0.2652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NAME_PRODUCT_TYPE=0</w:t>
            </w:r>
          </w:p>
        </w:tc>
        <w:tc>
          <w:tcPr>
            <w:tcW w:type="dxa" w:w="2880"/>
          </w:tcPr>
          <w:p>
            <w:r>
              <w:t>-0.1166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NAME_YIELD_GROUP=3</w:t>
            </w:r>
          </w:p>
        </w:tc>
        <w:tc>
          <w:tcPr>
            <w:tcW w:type="dxa" w:w="2880"/>
          </w:tcPr>
          <w:p>
            <w:r>
              <w:t>0.1060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NAME_CLIENT_TYPE=1</w:t>
            </w:r>
          </w:p>
        </w:tc>
        <w:tc>
          <w:tcPr>
            <w:tcW w:type="dxa" w:w="2880"/>
          </w:tcPr>
          <w:p>
            <w:r>
              <w:t>0.0722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0.03 &lt; UPSTREAM_PD_FROM_NB01 &lt;= 0.05</w:t>
            </w:r>
          </w:p>
        </w:tc>
        <w:tc>
          <w:tcPr>
            <w:tcW w:type="dxa" w:w="2880"/>
          </w:tcPr>
          <w:p>
            <w:r>
              <w:t>0.0701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NAME_GOODS_CATEGORY=7</w:t>
            </w:r>
          </w:p>
        </w:tc>
        <w:tc>
          <w:tcPr>
            <w:tcW w:type="dxa" w:w="2880"/>
          </w:tcPr>
          <w:p>
            <w:r>
              <w:t>0.0541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24885.00 &lt; AMT_CREDIT &lt;= 80707.50</w:t>
            </w:r>
          </w:p>
        </w:tc>
        <w:tc>
          <w:tcPr>
            <w:tcW w:type="dxa" w:w="2880"/>
          </w:tcPr>
          <w:p>
            <w:r>
              <w:t>0.0478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CNT_PAYMENT &lt;= 10.00</w:t>
            </w:r>
          </w:p>
        </w:tc>
        <w:tc>
          <w:tcPr>
            <w:tcW w:type="dxa" w:w="2880"/>
          </w:tcPr>
          <w:p>
            <w:r>
              <w:t>0.0461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NAME_PORTFOLIO=3</w:t>
            </w:r>
          </w:p>
        </w:tc>
        <w:tc>
          <w:tcPr>
            <w:tcW w:type="dxa" w:w="2880"/>
          </w:tcPr>
          <w:p>
            <w:r>
              <w:t>-0.3733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NAME_YIELD_GROUP=0</w:t>
            </w:r>
          </w:p>
        </w:tc>
        <w:tc>
          <w:tcPr>
            <w:tcW w:type="dxa" w:w="2880"/>
          </w:tcPr>
          <w:p>
            <w:r>
              <w:t>-0.2684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NAME_PRODUCT_TYPE=0</w:t>
            </w:r>
          </w:p>
        </w:tc>
        <w:tc>
          <w:tcPr>
            <w:tcW w:type="dxa" w:w="2880"/>
          </w:tcPr>
          <w:p>
            <w:r>
              <w:t>-0.1235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NAME_CLIENT_TYPE=3</w:t>
            </w:r>
          </w:p>
        </w:tc>
        <w:tc>
          <w:tcPr>
            <w:tcW w:type="dxa" w:w="2880"/>
          </w:tcPr>
          <w:p>
            <w:r>
              <w:t>-0.0609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NAME_GOODS_CATEGORY=18</w:t>
            </w:r>
          </w:p>
        </w:tc>
        <w:tc>
          <w:tcPr>
            <w:tcW w:type="dxa" w:w="2880"/>
          </w:tcPr>
          <w:p>
            <w:r>
              <w:t>-0.0482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DAYS_DECISION &gt; -271.00</w:t>
            </w:r>
          </w:p>
        </w:tc>
        <w:tc>
          <w:tcPr>
            <w:tcW w:type="dxa" w:w="2880"/>
          </w:tcPr>
          <w:p>
            <w:r>
              <w:t>-0.0376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POS_CNT_RECORDS &gt; 50.00</w:t>
            </w:r>
          </w:p>
        </w:tc>
        <w:tc>
          <w:tcPr>
            <w:tcW w:type="dxa" w:w="2880"/>
          </w:tcPr>
          <w:p>
            <w:r>
              <w:t>-0.0350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EXT_SOURCE_2 &gt; 0.66</w:t>
            </w:r>
          </w:p>
        </w:tc>
        <w:tc>
          <w:tcPr>
            <w:tcW w:type="dxa" w:w="2880"/>
          </w:tcPr>
          <w:p>
            <w:r>
              <w:t>-0.0328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NAME_PRODUCT_TYPE=2</w:t>
            </w:r>
          </w:p>
        </w:tc>
        <w:tc>
          <w:tcPr>
            <w:tcW w:type="dxa" w:w="2880"/>
          </w:tcPr>
          <w:p>
            <w:r>
              <w:t>0.1555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NAME_YIELD_GROUP=1</w:t>
            </w:r>
          </w:p>
        </w:tc>
        <w:tc>
          <w:tcPr>
            <w:tcW w:type="dxa" w:w="2880"/>
          </w:tcPr>
          <w:p>
            <w:r>
              <w:t>0.1070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24885.00 &lt; AMT_CREDIT &lt;= 80707.50</w:t>
            </w:r>
          </w:p>
        </w:tc>
        <w:tc>
          <w:tcPr>
            <w:tcW w:type="dxa" w:w="2880"/>
          </w:tcPr>
          <w:p>
            <w:r>
              <w:t>0.0599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NAME_GOODS_CATEGORY=18</w:t>
            </w:r>
          </w:p>
        </w:tc>
        <w:tc>
          <w:tcPr>
            <w:tcW w:type="dxa" w:w="2880"/>
          </w:tcPr>
          <w:p>
            <w:r>
              <w:t>-0.0534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NAME_CLIENT_TYPE=3</w:t>
            </w:r>
          </w:p>
        </w:tc>
        <w:tc>
          <w:tcPr>
            <w:tcW w:type="dxa" w:w="2880"/>
          </w:tcPr>
          <w:p>
            <w:r>
              <w:t>-0.0529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EXT_SOURCE_2 &lt;= 0.39</w:t>
            </w:r>
          </w:p>
        </w:tc>
        <w:tc>
          <w:tcPr>
            <w:tcW w:type="dxa" w:w="2880"/>
          </w:tcPr>
          <w:p>
            <w:r>
              <w:t>0.0496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CNT_PAYMENT &lt;= 10.00</w:t>
            </w:r>
          </w:p>
        </w:tc>
        <w:tc>
          <w:tcPr>
            <w:tcW w:type="dxa" w:w="2880"/>
          </w:tcPr>
          <w:p>
            <w:r>
              <w:t>0.0463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DAYS_DECISION &lt;= -1314.00</w:t>
            </w:r>
          </w:p>
        </w:tc>
        <w:tc>
          <w:tcPr>
            <w:tcW w:type="dxa" w:w="2880"/>
          </w:tcPr>
          <w:p>
            <w:r>
              <w:t>-0.0446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lime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Real local (instance-level) LIME explanations were computed for 3 representative real holdout applications selected from this run's own predictions: Most-confident correct approval, Most-confident correct decline, A real misclassified application.</w:t>
      </w:r>
    </w:p>
    <w:p>
      <w:r>
        <w:rPr>
          <w:i/>
          <w:color w:val="595959"/>
        </w:rPr>
        <w:t>Unlike SHAP's global feature-importance ranking above, LIME shows exactly which real feature values moved THIS SPECIFIC application's prediction — useful for explaining an individual underwriting decision to an applicant or auditor.</w:t>
      </w:r>
    </w:p>
    <w:p>
      <w:r>
        <w:rPr>
          <w:i/>
          <w:color w:val="595959"/>
        </w:rPr>
        <w:t>Full per-feature weights for every case are in the LIME Instance Explanations table/sheet below.</w:t>
      </w:r>
    </w:p>
    <w:p>
      <w:pPr>
        <w:pStyle w:val="Heading1"/>
      </w:pPr>
      <w:r>
        <w:rPr>
          <w:color w:val="EDA100"/>
        </w:rPr>
        <w:t>Statistical Validation (SOP Stage 4)</w:t>
      </w:r>
    </w:p>
    <w:p>
      <w:r>
        <w:t>Bootstrap 95% CI on holdout ROC-AUC (1000 resamples): [0.9514, 0.9532].</w:t>
      </w:r>
    </w:p>
    <w:p>
      <w:r>
        <w:t>Mean calibration gap across 10 score deciles: 0.0111 (threshold: &lt;0.1).</w:t>
      </w:r>
    </w:p>
    <w:p>
      <w:r>
        <w:t>Split-half PSI on holdout score distribution: 0.0001 (threshold: &lt;0.1).</w:t>
      </w:r>
    </w:p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Mean calibration gap across 10 real score deciles is 0.0111 (ASSUMPTION threshold for 'acceptable': &lt;0.1), so the model is well-calibrated.</w:t>
      </w:r>
    </w:p>
    <w:p>
      <w:r>
        <w:rPr>
          <w:i/>
          <w:color w:val="595959"/>
        </w:rPr>
        <w:t>Split-half PSI on the holdout score distribution is 0.0001 (ASSUMPTION threshold: &lt;0.1), indicating a stable score distribution.</w:t>
      </w:r>
    </w:p>
    <w:p>
      <w:r>
        <w:rPr>
          <w:i/>
          <w:color w:val="595959"/>
        </w:rPr>
        <w:t>The top decile shows a real mean predicted approval probability of 99.34% against an actual observed rate of 99.83%.</w:t>
      </w:r>
    </w:p>
    <w:p>
      <w:pPr>
        <w:pStyle w:val="Heading1"/>
      </w:pPr>
      <w:r>
        <w:rPr>
          <w:color w:val="E87BA4"/>
        </w:rPr>
        <w:t>Financial Impact (real volume figures + one labeled assumption)</w:t>
      </w:r>
    </w:p>
    <w:p>
      <w:r>
        <w:t>Total real holdout requested credit volume (AMT_CREDIT): $41,595,224,064 ($41.60B).</w:t>
      </w:r>
    </w:p>
    <w:p>
      <w:r>
        <w:t>Volume of correctly-identified real approvals (true positives): $24,026,386,432 ($24.03B).</w:t>
      </w:r>
    </w:p>
    <w:p>
      <w:r>
        <w:t>Volume of missed real approvals (false negatives): $2,681,717,248 ($2.68B).</w:t>
      </w:r>
    </w:p>
    <w:p>
      <w:r>
        <w:t>Volume wrongly flagged approvable — real declines incorrectly flagged (false positives): $4,470,666,752 ($4.47B).</w:t>
      </w:r>
    </w:p>
    <w:p>
      <w:r>
        <w:t>ASSUMPTION (illustrative manual-review cost, $25/review): applied only to correctly-identified approvals, illustrative manual-review cost avoided = $3,198,275 ($3.2M). This is a labeled estimate, not a real observed figure.</w:t>
      </w:r>
    </w:p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Of $41,595,224,064 ($41.60B) in real total holdout requested credit volume, the model correctly identifies $24,026,386,432 ($24.03B) of volume that was really approved (capture rate 96.3% of real approvals).</w:t>
      </w:r>
    </w:p>
    <w:p>
      <w:r>
        <w:rPr>
          <w:i/>
          <w:color w:val="595959"/>
        </w:rPr>
        <w:t>$2,681,717,248 ($2.68B) of volume is missed (real approvals the model would have declined) and $4,470,666,752 ($4.47B) is flagged as approvable on applications that were really declined.</w:t>
      </w:r>
    </w:p>
    <w:p>
      <w:r>
        <w:rPr>
          <w:i/>
          <w:color w:val="595959"/>
        </w:rPr>
        <w:t>ASSUMPTION (illustrative manual-review cost, $25/review): applied only to correctly-identified approvals, illustrative manual-review cost avoided = $3,198,275 ($3.2M).</w:t>
      </w:r>
    </w:p>
    <w:p>
      <w:r>
        <w:rPr>
          <w:i/>
          <w:color w:val="595959"/>
        </w:rPr>
        <w:t>Switch the view above to see the same three outcomes by real application count instead of dollar volume.</w:t>
      </w:r>
    </w:p>
    <w:p>
      <w:pPr>
        <w:pStyle w:val="Heading1"/>
      </w:pPr>
      <w:r>
        <w:rPr>
          <w:color w:val="008300"/>
        </w:rPr>
        <w:t>Integrity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target_is_binary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no_leakage_columns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holdout_size_matches_split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champion_auc_above_random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cv_fold_count_correct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no_null_features_after_impute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join_scope_reported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credit_history_features_integrated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servicing_features_leave_one_out_nonnegative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candidate_screen_is_top4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cv_computed_for_top2_only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champion_in_screened_top2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shap_values_finite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shap_feature_count_matches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lime_explanations_computed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cpu_thread_ceiling_applied_before_import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upstream_pd_feature_integrated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upstream_pd_matched_rows_positive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