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2 — Notebook 02: Basel RWA Portfolio Analytics</w:t>
      </w:r>
    </w:p>
    <w:p>
      <w:pPr>
        <w:jc w:val="center"/>
      </w:pPr>
      <w:r>
        <w:rPr>
          <w:i/>
          <w:color w:val="595959"/>
          <w:sz w:val="22"/>
        </w:rPr>
        <w:t>Real per-applicant RWA (Notebook 01), analyzed across real portfolio segment cuts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307,511 real applicants (Notebook 01's output, reused not recomputed).</w:t>
      </w:r>
    </w:p>
    <w:p>
      <w:pPr>
        <w:pStyle w:val="ListBullet"/>
      </w:pPr>
      <w:r>
        <w:t>Real portfolio RWA density: 66.21%.</w:t>
      </w:r>
    </w:p>
    <w:p>
      <w:pPr>
        <w:pStyle w:val="ListBullet"/>
      </w:pPr>
      <w:r>
        <w:t>Highest real RWA density segment: NAME_INCOME_TYPE=Unemployed (90.22%).</w:t>
      </w:r>
    </w:p>
    <w:p>
      <w:pPr>
        <w:pStyle w:val="ListBullet"/>
      </w:pPr>
      <w:r>
        <w:t>Statistical robustness verdict: STATISTICALLY ROBUST — RECOMMENDED FOR PRODUCTION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Portfolio RWA density meets the statistical-robustness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Chi-square p=0, Cramer's V 0.3754 (95% bootstrap CI [0.3698, 0.3810]); 3/3 validation checks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Portfolio RWA density 66.21%; highest-density segment NAME_INCOME_TYPE=Unemployed (90.22%).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Identifies which real portfolio segments concentrate capital demand -- informs Problem 5 (Capital Concentration by Segment).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Re-run after any Notebook 01 (MP2) re-run or LGD/correlation assumption update.</w:t>
      </w:r>
    </w:p>
    <w:p/>
    <w:p>
      <w:pPr>
        <w:pStyle w:val="Heading1"/>
      </w:pPr>
      <w:r>
        <w:rPr>
          <w:color w:val="2A78D6"/>
        </w:rPr>
        <w:t>RWA Density by PD Risk Band</w:t>
      </w:r>
    </w:p>
    <w:p>
      <w:r>
        <w:t>Real RWA density and real default rate per PD risk band.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PD Risk Band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2160"/>
            <w:shd w:fill="2a78d6"/>
          </w:tcPr>
          <w:p>
            <w:r>
              <w:rPr>
                <w:b/>
                <w:color w:val="FFFFFF"/>
              </w:rPr>
              <w:t>RWA Density</w:t>
            </w:r>
          </w:p>
        </w:tc>
      </w:tr>
      <w:tr>
        <w:tc>
          <w:tcPr>
            <w:tcW w:type="dxa" w:w="2160"/>
          </w:tcPr>
          <w:p>
            <w:r>
              <w:t>Lowest Risk</w:t>
            </w:r>
          </w:p>
        </w:tc>
        <w:tc>
          <w:tcPr>
            <w:tcW w:type="dxa" w:w="2160"/>
          </w:tcPr>
          <w:p>
            <w:r>
              <w:t>154,958</w:t>
            </w:r>
          </w:p>
        </w:tc>
        <w:tc>
          <w:tcPr>
            <w:tcW w:type="dxa" w:w="2160"/>
          </w:tcPr>
          <w:p>
            <w:r>
              <w:t>1.86%</w:t>
            </w:r>
          </w:p>
        </w:tc>
        <w:tc>
          <w:tcPr>
            <w:tcW w:type="dxa" w:w="2160"/>
          </w:tcPr>
          <w:p>
            <w:r>
              <w:t>48.31%</w:t>
            </w:r>
          </w:p>
        </w:tc>
      </w:tr>
      <w:tr>
        <w:tc>
          <w:tcPr>
            <w:tcW w:type="dxa" w:w="2160"/>
          </w:tcPr>
          <w:p>
            <w:r>
              <w:t>Low Risk</w:t>
            </w:r>
          </w:p>
        </w:tc>
        <w:tc>
          <w:tcPr>
            <w:tcW w:type="dxa" w:w="2160"/>
          </w:tcPr>
          <w:p>
            <w:r>
              <w:t>76,559</w:t>
            </w:r>
          </w:p>
        </w:tc>
        <w:tc>
          <w:tcPr>
            <w:tcW w:type="dxa" w:w="2160"/>
          </w:tcPr>
          <w:p>
            <w:r>
              <w:t>6.52%</w:t>
            </w:r>
          </w:p>
        </w:tc>
        <w:tc>
          <w:tcPr>
            <w:tcW w:type="dxa" w:w="2160"/>
          </w:tcPr>
          <w:p>
            <w:r>
              <w:t>74.05%</w:t>
            </w:r>
          </w:p>
        </w:tc>
      </w:tr>
      <w:tr>
        <w:tc>
          <w:tcPr>
            <w:tcW w:type="dxa" w:w="2160"/>
          </w:tcPr>
          <w:p>
            <w:r>
              <w:t>Moderate Risk</w:t>
            </w:r>
          </w:p>
        </w:tc>
        <w:tc>
          <w:tcPr>
            <w:tcW w:type="dxa" w:w="2160"/>
          </w:tcPr>
          <w:p>
            <w:r>
              <w:t>49,270</w:t>
            </w:r>
          </w:p>
        </w:tc>
        <w:tc>
          <w:tcPr>
            <w:tcW w:type="dxa" w:w="2160"/>
          </w:tcPr>
          <w:p>
            <w:r>
              <w:t>15.01%</w:t>
            </w:r>
          </w:p>
        </w:tc>
        <w:tc>
          <w:tcPr>
            <w:tcW w:type="dxa" w:w="2160"/>
          </w:tcPr>
          <w:p>
            <w:r>
              <w:t>95.55%</w:t>
            </w:r>
          </w:p>
        </w:tc>
      </w:tr>
      <w:tr>
        <w:tc>
          <w:tcPr>
            <w:tcW w:type="dxa" w:w="2160"/>
          </w:tcPr>
          <w:p>
            <w:r>
              <w:t>High Risk</w:t>
            </w:r>
          </w:p>
        </w:tc>
        <w:tc>
          <w:tcPr>
            <w:tcW w:type="dxa" w:w="2160"/>
          </w:tcPr>
          <w:p>
            <w:r>
              <w:t>19,711</w:t>
            </w:r>
          </w:p>
        </w:tc>
        <w:tc>
          <w:tcPr>
            <w:tcW w:type="dxa" w:w="2160"/>
          </w:tcPr>
          <w:p>
            <w:r>
              <w:t>29.31%</w:t>
            </w:r>
          </w:p>
        </w:tc>
        <w:tc>
          <w:tcPr>
            <w:tcW w:type="dxa" w:w="2160"/>
          </w:tcPr>
          <w:p>
            <w:r>
              <w:t>112.35%</w:t>
            </w:r>
          </w:p>
        </w:tc>
      </w:tr>
      <w:tr>
        <w:tc>
          <w:tcPr>
            <w:tcW w:type="dxa" w:w="2160"/>
          </w:tcPr>
          <w:p>
            <w:r>
              <w:t>Highest Risk</w:t>
            </w:r>
          </w:p>
        </w:tc>
        <w:tc>
          <w:tcPr>
            <w:tcW w:type="dxa" w:w="2160"/>
          </w:tcPr>
          <w:p>
            <w:r>
              <w:t>7,013</w:t>
            </w:r>
          </w:p>
        </w:tc>
        <w:tc>
          <w:tcPr>
            <w:tcW w:type="dxa" w:w="2160"/>
          </w:tcPr>
          <w:p>
            <w:r>
              <w:t>53.90%</w:t>
            </w:r>
          </w:p>
        </w:tc>
        <w:tc>
          <w:tcPr>
            <w:tcW w:type="dxa" w:w="2160"/>
          </w:tcPr>
          <w:p>
            <w:r>
              <w:t>107.23%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10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rwa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Real RWA density rises from 48.31% in 'Lowest Risk' to 107.23% in 'Highest Risk' -- higher-PD bands carry a higher capital charge by construction of the Basel K() formula (Notebook 01).</w:t>
      </w:r>
    </w:p>
    <w:p>
      <w:r>
        <w:rPr>
          <w:i/>
          <w:color w:val="595959"/>
        </w:rPr>
        <w:t>Portfolio-wide real RWA density: 66.21% ($121,961,353,912 ($121.96B) RWA / $184,207,084,196 ($184.21B) EAD).</w:t>
      </w:r>
    </w:p>
    <w:p>
      <w:r>
        <w:rPr>
          <w:i/>
          <w:color w:val="595959"/>
        </w:rPr>
        <w:t>Statistical robustness verdict: STATISTICALLY ROBUST — RECOMMENDED FOR PRODUCTION.</w:t>
      </w:r>
    </w:p>
    <w:p>
      <w:pPr>
        <w:pStyle w:val="Heading1"/>
      </w:pPr>
      <w:r>
        <w:rPr>
          <w:color w:val="EB6834"/>
        </w:rPr>
        <w:t>Top Segments by Total RWA</w:t>
      </w:r>
    </w:p>
    <w:p>
      <w:r>
        <w:t>Real total RWA, RWA density, and default rate across every segment cut (income type, education, contract type, region rating).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Total RWA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RWA Density</w:t>
            </w:r>
          </w:p>
        </w:tc>
      </w:tr>
      <w:tr>
        <w:tc>
          <w:tcPr>
            <w:tcW w:type="dxa" w:w="1728"/>
          </w:tcPr>
          <w:p>
            <w:r>
              <w:t>NAME_CONTRACT_TYPE</w:t>
            </w:r>
          </w:p>
        </w:tc>
        <w:tc>
          <w:tcPr>
            <w:tcW w:type="dxa" w:w="1728"/>
          </w:tcPr>
          <w:p>
            <w:r>
              <w:t>Cash loans</w:t>
            </w:r>
          </w:p>
        </w:tc>
        <w:tc>
          <w:tcPr>
            <w:tcW w:type="dxa" w:w="1728"/>
          </w:tcPr>
          <w:p>
            <w:r>
              <w:t>278,232</w:t>
            </w:r>
          </w:p>
        </w:tc>
        <w:tc>
          <w:tcPr>
            <w:tcW w:type="dxa" w:w="1728"/>
          </w:tcPr>
          <w:p>
            <w:r>
              <w:t>$115,735,687,895 ($115.74B)</w:t>
            </w:r>
          </w:p>
        </w:tc>
        <w:tc>
          <w:tcPr>
            <w:tcW w:type="dxa" w:w="1728"/>
          </w:tcPr>
          <w:p>
            <w:r>
              <w:t>66.24%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226,984</w:t>
            </w:r>
          </w:p>
        </w:tc>
        <w:tc>
          <w:tcPr>
            <w:tcW w:type="dxa" w:w="1728"/>
          </w:tcPr>
          <w:p>
            <w:r>
              <w:t>$87,786,179,260 ($87.79B)</w:t>
            </w:r>
          </w:p>
        </w:tc>
        <w:tc>
          <w:tcPr>
            <w:tcW w:type="dxa" w:w="1728"/>
          </w:tcPr>
          <w:p>
            <w:r>
              <w:t>66.50%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Secondary / secondary special</w:t>
            </w:r>
          </w:p>
        </w:tc>
        <w:tc>
          <w:tcPr>
            <w:tcW w:type="dxa" w:w="1728"/>
          </w:tcPr>
          <w:p>
            <w:r>
              <w:t>218,391</w:t>
            </w:r>
          </w:p>
        </w:tc>
        <w:tc>
          <w:tcPr>
            <w:tcW w:type="dxa" w:w="1728"/>
          </w:tcPr>
          <w:p>
            <w:r>
              <w:t>$87,103,856,440 ($87.10B)</w:t>
            </w:r>
          </w:p>
        </w:tc>
        <w:tc>
          <w:tcPr>
            <w:tcW w:type="dxa" w:w="1728"/>
          </w:tcPr>
          <w:p>
            <w:r>
              <w:t>69.83%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Working</w:t>
            </w:r>
          </w:p>
        </w:tc>
        <w:tc>
          <w:tcPr>
            <w:tcW w:type="dxa" w:w="1728"/>
          </w:tcPr>
          <w:p>
            <w:r>
              <w:t>158,774</w:t>
            </w:r>
          </w:p>
        </w:tc>
        <w:tc>
          <w:tcPr>
            <w:tcW w:type="dxa" w:w="1728"/>
          </w:tcPr>
          <w:p>
            <w:r>
              <w:t>$64,446,300,841 ($64.45B)</w:t>
            </w:r>
          </w:p>
        </w:tc>
        <w:tc>
          <w:tcPr>
            <w:tcW w:type="dxa" w:w="1728"/>
          </w:tcPr>
          <w:p>
            <w:r>
              <w:t>70.35%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Commercial associate</w:t>
            </w:r>
          </w:p>
        </w:tc>
        <w:tc>
          <w:tcPr>
            <w:tcW w:type="dxa" w:w="1728"/>
          </w:tcPr>
          <w:p>
            <w:r>
              <w:t>71,617</w:t>
            </w:r>
          </w:p>
        </w:tc>
        <w:tc>
          <w:tcPr>
            <w:tcW w:type="dxa" w:w="1728"/>
          </w:tcPr>
          <w:p>
            <w:r>
              <w:t>$30,526,225,212 ($30.53B)</w:t>
            </w:r>
          </w:p>
        </w:tc>
        <w:tc>
          <w:tcPr>
            <w:tcW w:type="dxa" w:w="1728"/>
          </w:tcPr>
          <w:p>
            <w:r>
              <w:t>63.63%</w:t>
            </w:r>
          </w:p>
        </w:tc>
      </w:tr>
      <w:tr>
        <w:tc>
          <w:tcPr>
            <w:tcW w:type="dxa" w:w="1728"/>
          </w:tcPr>
          <w:p>
            <w:r>
              <w:t>NAME_EDUCATION_TYPE</w:t>
            </w:r>
          </w:p>
        </w:tc>
        <w:tc>
          <w:tcPr>
            <w:tcW w:type="dxa" w:w="1728"/>
          </w:tcPr>
          <w:p>
            <w:r>
              <w:t>Higher education</w:t>
            </w:r>
          </w:p>
        </w:tc>
        <w:tc>
          <w:tcPr>
            <w:tcW w:type="dxa" w:w="1728"/>
          </w:tcPr>
          <w:p>
            <w:r>
              <w:t>74,863</w:t>
            </w:r>
          </w:p>
        </w:tc>
        <w:tc>
          <w:tcPr>
            <w:tcW w:type="dxa" w:w="1728"/>
          </w:tcPr>
          <w:p>
            <w:r>
              <w:t>$29,384,937,404 ($29.38B)</w:t>
            </w:r>
          </w:p>
        </w:tc>
        <w:tc>
          <w:tcPr>
            <w:tcW w:type="dxa" w:w="1728"/>
          </w:tcPr>
          <w:p>
            <w:r>
              <w:t>56.89%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48,330</w:t>
            </w:r>
          </w:p>
        </w:tc>
        <w:tc>
          <w:tcPr>
            <w:tcW w:type="dxa" w:w="1728"/>
          </w:tcPr>
          <w:p>
            <w:r>
              <w:t>$20,765,705,661 ($20.77B)</w:t>
            </w:r>
          </w:p>
        </w:tc>
        <w:tc>
          <w:tcPr>
            <w:tcW w:type="dxa" w:w="1728"/>
          </w:tcPr>
          <w:p>
            <w:r>
              <w:t>74.91%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Pensioner</w:t>
            </w:r>
          </w:p>
        </w:tc>
        <w:tc>
          <w:tcPr>
            <w:tcW w:type="dxa" w:w="1728"/>
          </w:tcPr>
          <w:p>
            <w:r>
              <w:t>55,362</w:t>
            </w:r>
          </w:p>
        </w:tc>
        <w:tc>
          <w:tcPr>
            <w:tcW w:type="dxa" w:w="1728"/>
          </w:tcPr>
          <w:p>
            <w:r>
              <w:t>$18,262,894,490 ($18.26B)</w:t>
            </w:r>
          </w:p>
        </w:tc>
        <w:tc>
          <w:tcPr>
            <w:tcW w:type="dxa" w:w="1728"/>
          </w:tcPr>
          <w:p>
            <w:r>
              <w:t>60.80%</w:t>
            </w:r>
          </w:p>
        </w:tc>
      </w:tr>
      <w:tr>
        <w:tc>
          <w:tcPr>
            <w:tcW w:type="dxa" w:w="1728"/>
          </w:tcPr>
          <w:p>
            <w:r>
              <w:t>REGION_RATING_CLIENT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32,197</w:t>
            </w:r>
          </w:p>
        </w:tc>
        <w:tc>
          <w:tcPr>
            <w:tcW w:type="dxa" w:w="1728"/>
          </w:tcPr>
          <w:p>
            <w:r>
              <w:t>$13,409,468,990 ($13.41B)</w:t>
            </w:r>
          </w:p>
        </w:tc>
        <w:tc>
          <w:tcPr>
            <w:tcW w:type="dxa" w:w="1728"/>
          </w:tcPr>
          <w:p>
            <w:r>
              <w:t>54.80%</w:t>
            </w:r>
          </w:p>
        </w:tc>
      </w:tr>
      <w:tr>
        <w:tc>
          <w:tcPr>
            <w:tcW w:type="dxa" w:w="1728"/>
          </w:tcPr>
          <w:p>
            <w:r>
              <w:t>NAME_INCOME_TYPE</w:t>
            </w:r>
          </w:p>
        </w:tc>
        <w:tc>
          <w:tcPr>
            <w:tcW w:type="dxa" w:w="1728"/>
          </w:tcPr>
          <w:p>
            <w:r>
              <w:t>State servant</w:t>
            </w:r>
          </w:p>
        </w:tc>
        <w:tc>
          <w:tcPr>
            <w:tcW w:type="dxa" w:w="1728"/>
          </w:tcPr>
          <w:p>
            <w:r>
              <w:t>21,703</w:t>
            </w:r>
          </w:p>
        </w:tc>
        <w:tc>
          <w:tcPr>
            <w:tcW w:type="dxa" w:w="1728"/>
          </w:tcPr>
          <w:p>
            <w:r>
              <w:t>$8,698,900,534 ($8.70B)</w:t>
            </w:r>
          </w:p>
        </w:tc>
        <w:tc>
          <w:tcPr>
            <w:tcW w:type="dxa" w:w="1728"/>
          </w:tcPr>
          <w:p>
            <w:r>
              <w:t>59.84%</w:t>
            </w:r>
          </w:p>
        </w:tc>
      </w:tr>
    </w:tbl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'Cash loans' (NAME_CONTRACT_TYPE) carries the largest real total RWA ($115,735,687,895 ($115.74B)) across 278,232 real applicants.</w:t>
      </w:r>
    </w:p>
    <w:p>
      <w:r>
        <w:rPr>
          <w:i/>
          <w:color w:val="595959"/>
        </w:rPr>
        <w:t>'Unemployed' (NAME_INCOME_TYPE) shows the highest real RWA density (90.22%) -- a capital-efficiency signal, not necessarily the largest dollar exposure.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