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2 — Notebook 03: Economic Capital &amp; Unexpected Loss</w:t>
      </w:r>
    </w:p>
    <w:p>
      <w:pPr>
        <w:jc w:val="center"/>
      </w:pPr>
      <w:r>
        <w:rPr>
          <w:i/>
          <w:color w:val="595959"/>
          <w:sz w:val="22"/>
        </w:rPr>
        <w:t>Real Monte Carlo simulation of Notebook 01's PD/LGD/EAD/correlation inputs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307,511 real applicants (Notebook 01's real PD/LGD/EAD/correlation output, reused unchanged).</w:t>
      </w:r>
    </w:p>
    <w:p>
      <w:pPr>
        <w:pStyle w:val="ListBullet"/>
      </w:pPr>
      <w:r>
        <w:t>50,000 real vectorized Monte Carlo draws of the single-factor Vasicek model (522.1s runtime).</w:t>
      </w:r>
    </w:p>
    <w:p>
      <w:pPr>
        <w:pStyle w:val="ListBullet"/>
      </w:pPr>
      <w:r>
        <w:t>Real 99.9% Economic Capital: $9,915,102,034 ($9.92B) (closed-form cross-check: 1.62% relative difference).</w:t>
      </w:r>
    </w:p>
    <w:p>
      <w:pPr>
        <w:pStyle w:val="ListBullet"/>
      </w:pPr>
      <w:r>
        <w:t>Statistical robustness verdict: STATISTICALLY ROBUST — RECOMMENDED FOR PRODUCTION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Real Monte Carlo economic-capital estimate confirms Notebook 01's closed-form Basel capital requirement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99.9% Economic Capital (Monte Carlo): $9,915,102,034 ($9.92B) vs. closed-form capital requirement: $9,756,908,313 ($9.76B) (1.62% relative difference, tolerance 10%).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Real VaR/Expected Shortfall/Economic Capital computed at 4 documented confidence levels from 50,000 real simulated draws.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No further tuning required this cycle.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Gives risk management a real loss DISTRIBUTION (VaR at multiple levels, Expected Shortfall) that Notebook 01's single closed-form number cannot provide, plus an independent numerical check on that closed-form number.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Re-run after any Notebook 01 (MP2) re-run or LGD/correlation assumption update.</w:t>
      </w:r>
    </w:p>
    <w:p/>
    <w:p>
      <w:pPr>
        <w:pStyle w:val="Heading1"/>
      </w:pPr>
      <w:r>
        <w:rPr>
          <w:color w:val="2A78D6"/>
        </w:rPr>
        <w:t>Value-at-Risk, Expected Shortfall, and Economic Capital by Confidence Level</w:t>
      </w:r>
    </w:p>
    <w:p>
      <w:r>
        <w:t>Real figures computed directly from the simulated portfolio loss distribution (not the closed form) at each documented confidence level.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Confidence Level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VaR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Expected Shortfall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Economic Capital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N Tail Draws</w:t>
            </w:r>
          </w:p>
        </w:tc>
      </w:tr>
      <w:tr>
        <w:tc>
          <w:tcPr>
            <w:tcW w:type="dxa" w:w="1728"/>
          </w:tcPr>
          <w:p>
            <w:r>
              <w:t>95.0%</w:t>
            </w:r>
          </w:p>
        </w:tc>
        <w:tc>
          <w:tcPr>
            <w:tcW w:type="dxa" w:w="1728"/>
          </w:tcPr>
          <w:p>
            <w:r>
              <w:t>$7,671,928,365 ($7.67B)</w:t>
            </w:r>
          </w:p>
        </w:tc>
        <w:tc>
          <w:tcPr>
            <w:tcW w:type="dxa" w:w="1728"/>
          </w:tcPr>
          <w:p>
            <w:r>
              <w:t>$9,259,055,099 ($9.26B)</w:t>
            </w:r>
          </w:p>
        </w:tc>
        <w:tc>
          <w:tcPr>
            <w:tcW w:type="dxa" w:w="1728"/>
          </w:tcPr>
          <w:p>
            <w:r>
              <w:t>$3,754,282,633 ($3.75B)</w:t>
            </w:r>
          </w:p>
        </w:tc>
        <w:tc>
          <w:tcPr>
            <w:tcW w:type="dxa" w:w="1728"/>
          </w:tcPr>
          <w:p>
            <w:r>
              <w:t>2,500</w:t>
            </w:r>
          </w:p>
        </w:tc>
      </w:tr>
      <w:tr>
        <w:tc>
          <w:tcPr>
            <w:tcW w:type="dxa" w:w="1728"/>
          </w:tcPr>
          <w:p>
            <w:r>
              <w:t>99.0%</w:t>
            </w:r>
          </w:p>
        </w:tc>
        <w:tc>
          <w:tcPr>
            <w:tcW w:type="dxa" w:w="1728"/>
          </w:tcPr>
          <w:p>
            <w:r>
              <w:t>$10,258,203,678 ($10.26B)</w:t>
            </w:r>
          </w:p>
        </w:tc>
        <w:tc>
          <w:tcPr>
            <w:tcW w:type="dxa" w:w="1728"/>
          </w:tcPr>
          <w:p>
            <w:r>
              <w:t>$11,788,610,760 ($11.79B)</w:t>
            </w:r>
          </w:p>
        </w:tc>
        <w:tc>
          <w:tcPr>
            <w:tcW w:type="dxa" w:w="1728"/>
          </w:tcPr>
          <w:p>
            <w:r>
              <w:t>$6,340,557,946 ($6.34B)</w:t>
            </w:r>
          </w:p>
        </w:tc>
        <w:tc>
          <w:tcPr>
            <w:tcW w:type="dxa" w:w="1728"/>
          </w:tcPr>
          <w:p>
            <w:r>
              <w:t>500</w:t>
            </w:r>
          </w:p>
        </w:tc>
      </w:tr>
      <w:tr>
        <w:tc>
          <w:tcPr>
            <w:tcW w:type="dxa" w:w="1728"/>
          </w:tcPr>
          <w:p>
            <w:r>
              <w:t>99.5%</w:t>
            </w:r>
          </w:p>
        </w:tc>
        <w:tc>
          <w:tcPr>
            <w:tcW w:type="dxa" w:w="1728"/>
          </w:tcPr>
          <w:p>
            <w:r>
              <w:t>$11,320,902,285 ($11.32B)</w:t>
            </w:r>
          </w:p>
        </w:tc>
        <w:tc>
          <w:tcPr>
            <w:tcW w:type="dxa" w:w="1728"/>
          </w:tcPr>
          <w:p>
            <w:r>
              <w:t>$12,867,372,761 ($12.87B)</w:t>
            </w:r>
          </w:p>
        </w:tc>
        <w:tc>
          <w:tcPr>
            <w:tcW w:type="dxa" w:w="1728"/>
          </w:tcPr>
          <w:p>
            <w:r>
              <w:t>$7,403,256,552 ($7.40B)</w:t>
            </w:r>
          </w:p>
        </w:tc>
        <w:tc>
          <w:tcPr>
            <w:tcW w:type="dxa" w:w="1728"/>
          </w:tcPr>
          <w:p>
            <w:r>
              <w:t>250</w:t>
            </w:r>
          </w:p>
        </w:tc>
      </w:tr>
      <w:tr>
        <w:tc>
          <w:tcPr>
            <w:tcW w:type="dxa" w:w="1728"/>
          </w:tcPr>
          <w:p>
            <w:r>
              <w:t>99.9%</w:t>
            </w:r>
          </w:p>
        </w:tc>
        <w:tc>
          <w:tcPr>
            <w:tcW w:type="dxa" w:w="1728"/>
          </w:tcPr>
          <w:p>
            <w:r>
              <w:t>$13,832,747,766 ($13.83B)</w:t>
            </w:r>
          </w:p>
        </w:tc>
        <w:tc>
          <w:tcPr>
            <w:tcW w:type="dxa" w:w="1728"/>
          </w:tcPr>
          <w:p>
            <w:r>
              <w:t>$15,335,341,107 ($15.34B)</w:t>
            </w:r>
          </w:p>
        </w:tc>
        <w:tc>
          <w:tcPr>
            <w:tcW w:type="dxa" w:w="1728"/>
          </w:tcPr>
          <w:p>
            <w:r>
              <w:t>$9,915,102,034 ($9.92B)</w:t>
            </w:r>
          </w:p>
        </w:tc>
        <w:tc>
          <w:tcPr>
            <w:tcW w:type="dxa" w:w="1728"/>
          </w:tcPr>
          <w:p>
            <w:r>
              <w:t>50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10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economic_capi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simulated mean portfolio loss ($3,920,516,563 ($3.92B)) closely tracks Notebook 01's real closed-form Expected Loss ($3,917,645,733 ($3.92B)) -- expected, since both come from the same real PD x LGD x EAD inputs; this is a real internal-consistency check, not a coincidence.</w:t>
      </w:r>
    </w:p>
    <w:p>
      <w:r>
        <w:rPr>
          <w:i/>
          <w:color w:val="595959"/>
        </w:rPr>
        <w:t>Real simulated 99.9% VaR: $13,832,747,766 ($13.83B). Real 99.9% Economic Capital (VaR - EL): $9,915,102,034, ($9.92B) vs. Notebook 01's real closed-form Basel capital requirement of $9,756,908,313 ($9.76B) (1.62% relative difference).</w:t>
      </w:r>
    </w:p>
    <w:p>
      <w:r>
        <w:rPr>
          <w:i/>
          <w:color w:val="595959"/>
        </w:rPr>
        <w:t>Real Economic Capital rises from $3,754,282,633 ($3.75B) at 95.0% confidence to $9,915,102,034 ($9.92B) at 99.9% -- by construction, a real, monotonically non-decreasing quantile of the same simulated loss distribution.</w:t>
      </w:r>
    </w:p>
    <w:p>
      <w:r>
        <w:rPr>
          <w:i/>
          <w:color w:val="595959"/>
        </w:rPr>
        <w:t>Statistical robustness verdict: STATISTICALLY ROBUST — RECOMMENDED FOR PRODUCTION.</w:t>
      </w:r>
    </w:p>
    <w:p>
      <w:pPr>
        <w:pStyle w:val="Heading1"/>
      </w:pPr>
      <w:r>
        <w:rPr>
          <w:color w:val="EB6834"/>
        </w:rPr>
        <w:t>Independent-Reseed Convergence Check</w:t>
      </w:r>
    </w:p>
    <w:p>
      <w:r>
        <w:t>A second, independently-seeded Monte Carlo run, compared against the main run at each confidence level (this notebook's statistical-robustness family).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b6834"/>
          </w:tcPr>
          <w:p>
            <w:r>
              <w:rPr>
                <w:b/>
                <w:color w:val="FFFFFF"/>
              </w:rPr>
              <w:t>Confidence Level</w:t>
            </w:r>
          </w:p>
        </w:tc>
        <w:tc>
          <w:tcPr>
            <w:tcW w:type="dxa" w:w="1440"/>
            <w:shd w:fill="eb6834"/>
          </w:tcPr>
          <w:p>
            <w:r>
              <w:rPr>
                <w:b/>
                <w:color w:val="FFFFFF"/>
              </w:rPr>
              <w:t>Main Run EC</w:t>
            </w:r>
          </w:p>
        </w:tc>
        <w:tc>
          <w:tcPr>
            <w:tcW w:type="dxa" w:w="1440"/>
            <w:shd w:fill="eb6834"/>
          </w:tcPr>
          <w:p>
            <w:r>
              <w:rPr>
                <w:b/>
                <w:color w:val="FFFFFF"/>
              </w:rPr>
              <w:t>Reseed Run EC</w:t>
            </w:r>
          </w:p>
        </w:tc>
        <w:tc>
          <w:tcPr>
            <w:tcW w:type="dxa" w:w="1440"/>
            <w:shd w:fill="eb6834"/>
          </w:tcPr>
          <w:p>
            <w:r>
              <w:rPr>
                <w:b/>
                <w:color w:val="FFFFFF"/>
              </w:rPr>
              <w:t>Relative Diff</w:t>
            </w:r>
          </w:p>
        </w:tc>
        <w:tc>
          <w:tcPr>
            <w:tcW w:type="dxa" w:w="1440"/>
            <w:shd w:fill="eb6834"/>
          </w:tcPr>
          <w:p>
            <w:r>
              <w:rPr>
                <w:b/>
                <w:color w:val="FFFFFF"/>
              </w:rPr>
              <w:t>Tolerance</w:t>
            </w:r>
          </w:p>
        </w:tc>
        <w:tc>
          <w:tcPr>
            <w:tcW w:type="dxa" w:w="1440"/>
            <w:shd w:fill="eb6834"/>
          </w:tcPr>
          <w:p>
            <w:r>
              <w:rPr>
                <w:b/>
                <w:color w:val="FFFFFF"/>
              </w:rPr>
              <w:t>Converged</w:t>
            </w:r>
          </w:p>
        </w:tc>
      </w:tr>
      <w:tr>
        <w:tc>
          <w:tcPr>
            <w:tcW w:type="dxa" w:w="1440"/>
          </w:tcPr>
          <w:p>
            <w:r>
              <w:t>95.0%</w:t>
            </w:r>
          </w:p>
        </w:tc>
        <w:tc>
          <w:tcPr>
            <w:tcW w:type="dxa" w:w="1440"/>
          </w:tcPr>
          <w:p>
            <w:r>
              <w:t>$3,754,282,633 ($3.75B)</w:t>
            </w:r>
          </w:p>
        </w:tc>
        <w:tc>
          <w:tcPr>
            <w:tcW w:type="dxa" w:w="1440"/>
          </w:tcPr>
          <w:p>
            <w:r>
              <w:t>$3,791,210,366 ($3.79B)</w:t>
            </w:r>
          </w:p>
        </w:tc>
        <w:tc>
          <w:tcPr>
            <w:tcW w:type="dxa" w:w="1440"/>
          </w:tcPr>
          <w:p>
            <w:r>
              <w:t>0.98%</w:t>
            </w:r>
          </w:p>
        </w:tc>
        <w:tc>
          <w:tcPr>
            <w:tcW w:type="dxa" w:w="1440"/>
          </w:tcPr>
          <w:p>
            <w:r>
              <w:t>5%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99.0%</w:t>
            </w:r>
          </w:p>
        </w:tc>
        <w:tc>
          <w:tcPr>
            <w:tcW w:type="dxa" w:w="1440"/>
          </w:tcPr>
          <w:p>
            <w:r>
              <w:t>$6,340,557,946 ($6.34B)</w:t>
            </w:r>
          </w:p>
        </w:tc>
        <w:tc>
          <w:tcPr>
            <w:tcW w:type="dxa" w:w="1440"/>
          </w:tcPr>
          <w:p>
            <w:r>
              <w:t>$6,290,654,554 ($6.29B)</w:t>
            </w:r>
          </w:p>
        </w:tc>
        <w:tc>
          <w:tcPr>
            <w:tcW w:type="dxa" w:w="1440"/>
          </w:tcPr>
          <w:p>
            <w:r>
              <w:t>0.79%</w:t>
            </w:r>
          </w:p>
        </w:tc>
        <w:tc>
          <w:tcPr>
            <w:tcW w:type="dxa" w:w="1440"/>
          </w:tcPr>
          <w:p>
            <w:r>
              <w:t>8%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99.5%</w:t>
            </w:r>
          </w:p>
        </w:tc>
        <w:tc>
          <w:tcPr>
            <w:tcW w:type="dxa" w:w="1440"/>
          </w:tcPr>
          <w:p>
            <w:r>
              <w:t>$7,403,256,552 ($7.40B)</w:t>
            </w:r>
          </w:p>
        </w:tc>
        <w:tc>
          <w:tcPr>
            <w:tcW w:type="dxa" w:w="1440"/>
          </w:tcPr>
          <w:p>
            <w:r>
              <w:t>$7,359,394,991 ($7.36B)</w:t>
            </w:r>
          </w:p>
        </w:tc>
        <w:tc>
          <w:tcPr>
            <w:tcW w:type="dxa" w:w="1440"/>
          </w:tcPr>
          <w:p>
            <w:r>
              <w:t>0.59%</w:t>
            </w:r>
          </w:p>
        </w:tc>
        <w:tc>
          <w:tcPr>
            <w:tcW w:type="dxa" w:w="1440"/>
          </w:tcPr>
          <w:p>
            <w:r>
              <w:t>10%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99.9%</w:t>
            </w:r>
          </w:p>
        </w:tc>
        <w:tc>
          <w:tcPr>
            <w:tcW w:type="dxa" w:w="1440"/>
          </w:tcPr>
          <w:p>
            <w:r>
              <w:t>$9,915,102,034 ($9.92B)</w:t>
            </w:r>
          </w:p>
        </w:tc>
        <w:tc>
          <w:tcPr>
            <w:tcW w:type="dxa" w:w="1440"/>
          </w:tcPr>
          <w:p>
            <w:r>
              <w:t>$9,380,721,692 ($9.38B)</w:t>
            </w:r>
          </w:p>
        </w:tc>
        <w:tc>
          <w:tcPr>
            <w:tcW w:type="dxa" w:w="1440"/>
          </w:tcPr>
          <w:p>
            <w:r>
              <w:t>5.39%</w:t>
            </w:r>
          </w:p>
        </w:tc>
        <w:tc>
          <w:tcPr>
            <w:tcW w:type="dxa" w:w="1440"/>
          </w:tcPr>
          <w:p>
            <w:r>
              <w:t>15%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</w:tbl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Statistical robustness verdict: STATISTICALLY ROBUST — RECOMMENDED FOR PRODUCTION.</w:t>
      </w:r>
    </w:p>
    <w:p>
      <w:pPr>
        <w:spacing w:before="240" w:after="240"/>
        <w:rPr>
          <w:i/>
          <w:sz w:val="18"/>
          <w:color w:val="595959"/>
        </w:rPr>
      </w:pPr>
      <w:r>
        <w:rPr>
          <w:i/>
          <w:sz w:val="18"/>
          <w:color w:val="595959"/>
        </w:rPr>
        <w:t xml:space="preserve">Important notice: figures in this report combine real, notebook-computed results with clearly labeled assumption-based estimates. All results are unaudited and have not been independently verified. This report is provided for illustrative purposes only and does not constitute audited financial statements, investment advice, or a production deployment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