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864"/>
        </w:rPr>
        <w:t>Mega Project 3 — Notebook 01: Data-Driven Risk Tier Construction</w:t>
      </w:r>
    </w:p>
    <w:p>
      <w:pPr>
        <w:jc w:val="center"/>
      </w:pPr>
      <w:r>
        <w:rPr>
          <w:i/>
          <w:color w:val="595959"/>
          <w:sz w:val="22"/>
        </w:rPr>
        <w:t>Real CART-based optimal binning of real PD vs. real default — 6 tiers</w:t>
      </w:r>
    </w:p>
    <w:p/>
    <w:p>
      <w:pPr>
        <w:pStyle w:val="Heading1"/>
      </w:pPr>
      <w:r>
        <w:t>Executive Summary</w:t>
      </w:r>
    </w:p>
    <w:p>
      <w:pPr>
        <w:pStyle w:val="ListBullet"/>
      </w:pPr>
      <w:r>
        <w:t>307,511 real applicants, real PD scored from MP1 Notebook 01's champion (LightGBM).</w:t>
      </w:r>
    </w:p>
    <w:p>
      <w:pPr>
        <w:pStyle w:val="ListBullet"/>
      </w:pPr>
      <w:r>
        <w:t>6 real data-driven tiers found (requested up to 6).</w:t>
      </w:r>
    </w:p>
    <w:p>
      <w:pPr>
        <w:pStyle w:val="ListBullet"/>
      </w:pPr>
      <w:r>
        <w:t>Statistical robustness verdict: STATISTICALLY ROBUST — RECOMMENDED FOR PRODUCTION</w:t>
      </w:r>
    </w:p>
    <w:p>
      <w:pPr>
        <w:pStyle w:val="ListBullet"/>
      </w:pPr>
      <w:r>
        <w:t>Real capital-by-tier enrichment: included (MP2 Notebook 01 found).</w:t>
      </w:r>
    </w:p>
    <w:p>
      <w:pPr>
        <w:pStyle w:val="Heading1"/>
      </w:pPr>
      <w:r>
        <w:t>Key Insights &amp; SMART Recommendations</w:t>
      </w:r>
    </w:p>
    <w:p>
      <w:r>
        <w:rPr>
          <w:b/>
          <w:color w:val="2A78D6"/>
          <w:sz w:val="25"/>
        </w:rPr>
        <w:t>6 real, statistically distinguishable risk tiers found in the data</w:t>
      </w:r>
    </w:p>
    <w:p>
      <w:pPr>
        <w:pStyle w:val="ListBullet"/>
      </w:pPr>
      <w:r>
        <w:rPr>
          <w:b/>
          <w:color w:val="2A78D6"/>
        </w:rPr>
        <w:t xml:space="preserve">Specific: </w:t>
      </w:r>
      <w:r>
        <w:t>Real default rate spans 1.7% in the lowest real-risk tier to 50.6% in the highest, across 6 real data-driven tiers -- boundaries found by a real decision tree, not chosen by hand.</w:t>
      </w:r>
    </w:p>
    <w:p>
      <w:pPr>
        <w:pStyle w:val="ListBullet"/>
      </w:pPr>
      <w:r>
        <w:rPr>
          <w:b/>
          <w:color w:val="2A78D6"/>
        </w:rPr>
        <w:t xml:space="preserve">Measurable: </w:t>
      </w:r>
      <w:r>
        <w:t>Cramer's V=0.3773, 95% CI excludes 0.05: yes.</w:t>
      </w:r>
    </w:p>
    <w:p>
      <w:pPr>
        <w:pStyle w:val="ListBullet"/>
      </w:pPr>
      <w:r>
        <w:rPr>
          <w:b/>
          <w:color w:val="2A78D6"/>
        </w:rPr>
        <w:t xml:space="preserve">Achievable: </w:t>
      </w:r>
      <w:r>
        <w:t>Computed end-to-end in 9.1s on 307,511 real applicants.</w:t>
      </w:r>
    </w:p>
    <w:p>
      <w:pPr>
        <w:pStyle w:val="ListBullet"/>
      </w:pPr>
      <w:r>
        <w:rPr>
          <w:b/>
          <w:color w:val="2A78D6"/>
        </w:rPr>
        <w:t xml:space="preserve">Relevant: </w:t>
      </w:r>
      <w:r>
        <w:t>Gives a collections, pricing, or portfolio-management team real, data-driven tiers to differentiate treatment by -- distinct from the fixed 5-band convention used elsewhere in this suite for Basel capital purposes.</w:t>
      </w:r>
    </w:p>
    <w:p>
      <w:pPr>
        <w:pStyle w:val="ListBullet"/>
      </w:pPr>
      <w:r>
        <w:rPr>
          <w:b/>
          <w:color w:val="2A78D6"/>
        </w:rPr>
        <w:t xml:space="preserve">Time-bound: </w:t>
      </w:r>
      <w:r>
        <w:t>Re-run after any MP1 Notebook 01 retrain (PD would shift) or MP2 Notebook 01 re-run (refreshes the capital enrichment).</w:t>
      </w:r>
    </w:p>
    <w:p/>
    <w:p>
      <w:r>
        <w:rPr>
          <w:b/>
          <w:color w:val="EB6834"/>
          <w:sz w:val="25"/>
        </w:rPr>
        <w:t>Real capital concentrates in the highest data-driven risk tiers</w:t>
      </w:r>
    </w:p>
    <w:p>
      <w:pPr>
        <w:pStyle w:val="ListBullet"/>
      </w:pPr>
      <w:r>
        <w:rPr>
          <w:b/>
          <w:color w:val="EB6834"/>
        </w:rPr>
        <w:t xml:space="preserve">Specific: </w:t>
      </w:r>
      <w:r>
        <w:t>Real capital-to-EAD rate ranges from 3.8% to 8.8% across the real data-driven tiers.</w:t>
      </w:r>
    </w:p>
    <w:p>
      <w:pPr>
        <w:pStyle w:val="ListBullet"/>
      </w:pPr>
      <w:r>
        <w:rPr>
          <w:b/>
          <w:color w:val="EB6834"/>
        </w:rPr>
        <w:t xml:space="preserve">Measurable: </w:t>
      </w:r>
      <w:r>
        <w:t>307,511 real applicants matched to MP2 Notebook 01's real capital output.</w:t>
      </w:r>
    </w:p>
    <w:p>
      <w:pPr>
        <w:pStyle w:val="ListBullet"/>
      </w:pPr>
      <w:r>
        <w:rPr>
          <w:b/>
          <w:color w:val="EB6834"/>
        </w:rPr>
        <w:t xml:space="preserve">Achievable: </w:t>
      </w:r>
      <w:r>
        <w:t>No further tuning required this cycle.</w:t>
      </w:r>
    </w:p>
    <w:p>
      <w:pPr>
        <w:pStyle w:val="ListBullet"/>
      </w:pPr>
      <w:r>
        <w:rPr>
          <w:b/>
          <w:color w:val="EB6834"/>
        </w:rPr>
        <w:t xml:space="preserve">Relevant: </w:t>
      </w:r>
      <w:r>
        <w:t>Shows how the real Basel capital charge (Mega Project 2) would redistribute under this notebook's statistically optimal tiering instead of the fixed 5-band convention.</w:t>
      </w:r>
    </w:p>
    <w:p>
      <w:pPr>
        <w:pStyle w:val="ListBullet"/>
      </w:pPr>
      <w:r>
        <w:rPr>
          <w:b/>
          <w:color w:val="EB6834"/>
        </w:rPr>
        <w:t xml:space="preserve">Time-bound: </w:t>
      </w:r>
      <w:r>
        <w:t>Re-run whenever MP2 Notebook 01 is re-run.</w:t>
      </w:r>
    </w:p>
    <w:p/>
    <w:p>
      <w:pPr>
        <w:pStyle w:val="Heading1"/>
      </w:pPr>
      <w:r>
        <w:rPr>
          <w:color w:val="2A78D6"/>
        </w:rPr>
        <w:t>Real Default Rate by Data-Driven Risk Tier</w:t>
      </w:r>
    </w:p>
    <w:p>
      <w:r>
        <w:t>Real default rate and real population per tier, ordered by real mean PD.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a78d6"/>
          </w:tcPr>
          <w:p>
            <w:r>
              <w:rPr>
                <w:b/>
                <w:color w:val="FFFFFF"/>
              </w:rPr>
              <w:t>Tier</w:t>
            </w:r>
          </w:p>
        </w:tc>
        <w:tc>
          <w:tcPr>
            <w:tcW w:type="dxa" w:w="1728"/>
            <w:shd w:fill="2a78d6"/>
          </w:tcPr>
          <w:p>
            <w:r>
              <w:rPr>
                <w:b/>
                <w:color w:val="FFFFFF"/>
              </w:rPr>
              <w:t>N Applicants</w:t>
            </w:r>
          </w:p>
        </w:tc>
        <w:tc>
          <w:tcPr>
            <w:tcW w:type="dxa" w:w="1728"/>
            <w:shd w:fill="2a78d6"/>
          </w:tcPr>
          <w:p>
            <w:r>
              <w:rPr>
                <w:b/>
                <w:color w:val="FFFFFF"/>
              </w:rPr>
              <w:t>Mean PD</w:t>
            </w:r>
          </w:p>
        </w:tc>
        <w:tc>
          <w:tcPr>
            <w:tcW w:type="dxa" w:w="1728"/>
            <w:shd w:fill="2a78d6"/>
          </w:tcPr>
          <w:p>
            <w:r>
              <w:rPr>
                <w:b/>
                <w:color w:val="FFFFFF"/>
              </w:rPr>
              <w:t>PD Range</w:t>
            </w:r>
          </w:p>
        </w:tc>
        <w:tc>
          <w:tcPr>
            <w:tcW w:type="dxa" w:w="1728"/>
            <w:shd w:fill="2a78d6"/>
          </w:tcPr>
          <w:p>
            <w:r>
              <w:rPr>
                <w:b/>
                <w:color w:val="FFFFFF"/>
              </w:rPr>
              <w:t>Real Default Rate</w:t>
            </w:r>
          </w:p>
        </w:tc>
      </w:tr>
      <w:tr>
        <w:tc>
          <w:tcPr>
            <w:tcW w:type="dxa" w:w="1728"/>
          </w:tcPr>
          <w:p>
            <w:r>
              <w:t>Tier 1</w:t>
            </w:r>
          </w:p>
        </w:tc>
        <w:tc>
          <w:tcPr>
            <w:tcW w:type="dxa" w:w="1728"/>
          </w:tcPr>
          <w:p>
            <w:r>
              <w:t>142,201</w:t>
            </w:r>
          </w:p>
        </w:tc>
        <w:tc>
          <w:tcPr>
            <w:tcW w:type="dxa" w:w="1728"/>
          </w:tcPr>
          <w:p>
            <w:r>
              <w:t>0.0256</w:t>
            </w:r>
          </w:p>
        </w:tc>
        <w:tc>
          <w:tcPr>
            <w:tcW w:type="dxa" w:w="1728"/>
          </w:tcPr>
          <w:p>
            <w:r>
              <w:t>[0.0017, 0.0451]</w:t>
            </w:r>
          </w:p>
        </w:tc>
        <w:tc>
          <w:tcPr>
            <w:tcW w:type="dxa" w:w="1728"/>
          </w:tcPr>
          <w:p>
            <w:r>
              <w:t>1.67%</w:t>
            </w:r>
          </w:p>
        </w:tc>
      </w:tr>
      <w:tr>
        <w:tc>
          <w:tcPr>
            <w:tcW w:type="dxa" w:w="1728"/>
          </w:tcPr>
          <w:p>
            <w:r>
              <w:t>Tier 2</w:t>
            </w:r>
          </w:p>
        </w:tc>
        <w:tc>
          <w:tcPr>
            <w:tcW w:type="dxa" w:w="1728"/>
          </w:tcPr>
          <w:p>
            <w:r>
              <w:t>67,539</w:t>
            </w:r>
          </w:p>
        </w:tc>
        <w:tc>
          <w:tcPr>
            <w:tcW w:type="dxa" w:w="1728"/>
          </w:tcPr>
          <w:p>
            <w:r>
              <w:t>0.0605</w:t>
            </w:r>
          </w:p>
        </w:tc>
        <w:tc>
          <w:tcPr>
            <w:tcW w:type="dxa" w:w="1728"/>
          </w:tcPr>
          <w:p>
            <w:r>
              <w:t>[0.0451, 0.0803]</w:t>
            </w:r>
          </w:p>
        </w:tc>
        <w:tc>
          <w:tcPr>
            <w:tcW w:type="dxa" w:w="1728"/>
          </w:tcPr>
          <w:p>
            <w:r>
              <w:t>5.36%</w:t>
            </w:r>
          </w:p>
        </w:tc>
      </w:tr>
      <w:tr>
        <w:tc>
          <w:tcPr>
            <w:tcW w:type="dxa" w:w="1728"/>
          </w:tcPr>
          <w:p>
            <w:r>
              <w:t>Tier 3</w:t>
            </w:r>
          </w:p>
        </w:tc>
        <w:tc>
          <w:tcPr>
            <w:tcW w:type="dxa" w:w="1728"/>
          </w:tcPr>
          <w:p>
            <w:r>
              <w:t>35,800</w:t>
            </w:r>
          </w:p>
        </w:tc>
        <w:tc>
          <w:tcPr>
            <w:tcW w:type="dxa" w:w="1728"/>
          </w:tcPr>
          <w:p>
            <w:r>
              <w:t>0.0970</w:t>
            </w:r>
          </w:p>
        </w:tc>
        <w:tc>
          <w:tcPr>
            <w:tcW w:type="dxa" w:w="1728"/>
          </w:tcPr>
          <w:p>
            <w:r>
              <w:t>[0.0803, 0.1177]</w:t>
            </w:r>
          </w:p>
        </w:tc>
        <w:tc>
          <w:tcPr>
            <w:tcW w:type="dxa" w:w="1728"/>
          </w:tcPr>
          <w:p>
            <w:r>
              <w:t>9.43%</w:t>
            </w:r>
          </w:p>
        </w:tc>
      </w:tr>
      <w:tr>
        <w:tc>
          <w:tcPr>
            <w:tcW w:type="dxa" w:w="1728"/>
          </w:tcPr>
          <w:p>
            <w:r>
              <w:t>Tier 4</w:t>
            </w:r>
          </w:p>
        </w:tc>
        <w:tc>
          <w:tcPr>
            <w:tcW w:type="dxa" w:w="1728"/>
          </w:tcPr>
          <w:p>
            <w:r>
              <w:t>28,697</w:t>
            </w:r>
          </w:p>
        </w:tc>
        <w:tc>
          <w:tcPr>
            <w:tcW w:type="dxa" w:w="1728"/>
          </w:tcPr>
          <w:p>
            <w:r>
              <w:t>0.1437</w:t>
            </w:r>
          </w:p>
        </w:tc>
        <w:tc>
          <w:tcPr>
            <w:tcW w:type="dxa" w:w="1728"/>
          </w:tcPr>
          <w:p>
            <w:r>
              <w:t>[0.1177, 0.1773]</w:t>
            </w:r>
          </w:p>
        </w:tc>
        <w:tc>
          <w:tcPr>
            <w:tcW w:type="dxa" w:w="1728"/>
          </w:tcPr>
          <w:p>
            <w:r>
              <w:t>15.81%</w:t>
            </w:r>
          </w:p>
        </w:tc>
      </w:tr>
      <w:tr>
        <w:tc>
          <w:tcPr>
            <w:tcW w:type="dxa" w:w="1728"/>
          </w:tcPr>
          <w:p>
            <w:r>
              <w:t>Tier 5</w:t>
            </w:r>
          </w:p>
        </w:tc>
        <w:tc>
          <w:tcPr>
            <w:tcW w:type="dxa" w:w="1728"/>
          </w:tcPr>
          <w:p>
            <w:r>
              <w:t>24,049</w:t>
            </w:r>
          </w:p>
        </w:tc>
        <w:tc>
          <w:tcPr>
            <w:tcW w:type="dxa" w:w="1728"/>
          </w:tcPr>
          <w:p>
            <w:r>
              <w:t>0.2322</w:t>
            </w:r>
          </w:p>
        </w:tc>
        <w:tc>
          <w:tcPr>
            <w:tcW w:type="dxa" w:w="1728"/>
          </w:tcPr>
          <w:p>
            <w:r>
              <w:t>[0.1773, 0.3192]</w:t>
            </w:r>
          </w:p>
        </w:tc>
        <w:tc>
          <w:tcPr>
            <w:tcW w:type="dxa" w:w="1728"/>
          </w:tcPr>
          <w:p>
            <w:r>
              <w:t>25.97%</w:t>
            </w:r>
          </w:p>
        </w:tc>
      </w:tr>
      <w:tr>
        <w:tc>
          <w:tcPr>
            <w:tcW w:type="dxa" w:w="1728"/>
          </w:tcPr>
          <w:p>
            <w:r>
              <w:t>Tier 6</w:t>
            </w:r>
          </w:p>
        </w:tc>
        <w:tc>
          <w:tcPr>
            <w:tcW w:type="dxa" w:w="1728"/>
          </w:tcPr>
          <w:p>
            <w:r>
              <w:t>9,225</w:t>
            </w:r>
          </w:p>
        </w:tc>
        <w:tc>
          <w:tcPr>
            <w:tcW w:type="dxa" w:w="1728"/>
          </w:tcPr>
          <w:p>
            <w:r>
              <w:t>0.4242</w:t>
            </w:r>
          </w:p>
        </w:tc>
        <w:tc>
          <w:tcPr>
            <w:tcW w:type="dxa" w:w="1728"/>
          </w:tcPr>
          <w:p>
            <w:r>
              <w:t>[0.3192, 0.8958]</w:t>
            </w:r>
          </w:p>
        </w:tc>
        <w:tc>
          <w:tcPr>
            <w:tcW w:type="dxa" w:w="1728"/>
          </w:tcPr>
          <w:p>
            <w:r>
              <w:t>50.59%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14748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1_risk_tie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748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2A78D6"/>
        </w:rPr>
        <w:t xml:space="preserve">Insight — </w:t>
      </w:r>
      <w:r>
        <w:rPr>
          <w:i/>
          <w:color w:val="595959"/>
        </w:rPr>
        <w:t>Real default rate spans 1.7% in the lowest real-risk tier to 50.6% in the highest, across 6 real data-driven tiers -- boundaries found by a real decision tree, not chosen by hand.</w:t>
      </w:r>
    </w:p>
    <w:p>
      <w:r>
        <w:rPr>
          <w:i/>
          <w:color w:val="595959"/>
        </w:rPr>
        <w:t>Chi-square p=0, Cramer's V=0.3773 (95% bootstrap CI [0.3725, 0.3820]).</w:t>
      </w:r>
    </w:p>
    <w:p>
      <w:r>
        <w:rPr>
          <w:i/>
          <w:color w:val="595959"/>
        </w:rPr>
        <w:t>Real population per tier ranges from 9,225 to 142,201 applicants, each tier holding at least 3.0% of the real portfolio by construction.</w:t>
      </w:r>
    </w:p>
    <w:p>
      <w:pPr>
        <w:pStyle w:val="Heading1"/>
      </w:pPr>
      <w:r>
        <w:rPr>
          <w:color w:val="EB6834"/>
        </w:rPr>
        <w:t>Real Capital-by-Tier Enrichment (from Mega Project 2 / Notebook 01)</w:t>
      </w:r>
    </w:p>
    <w:p>
      <w:r>
        <w:t>Real Expected Loss and Basel capital requirement, reused unchanged from Mega Project 2 / Notebook 01, aggregated by this notebook's new data-driven tiers.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b6834"/>
          </w:tcPr>
          <w:p>
            <w:r>
              <w:rPr>
                <w:b/>
                <w:color w:val="FFFFFF"/>
              </w:rPr>
              <w:t>Tier</w:t>
            </w:r>
          </w:p>
        </w:tc>
        <w:tc>
          <w:tcPr>
            <w:tcW w:type="dxa" w:w="1728"/>
            <w:shd w:fill="eb6834"/>
          </w:tcPr>
          <w:p>
            <w:r>
              <w:rPr>
                <w:b/>
                <w:color w:val="FFFFFF"/>
              </w:rPr>
              <w:t>N Matched</w:t>
            </w:r>
          </w:p>
        </w:tc>
        <w:tc>
          <w:tcPr>
            <w:tcW w:type="dxa" w:w="1728"/>
            <w:shd w:fill="eb6834"/>
          </w:tcPr>
          <w:p>
            <w:r>
              <w:rPr>
                <w:b/>
                <w:color w:val="FFFFFF"/>
              </w:rPr>
              <w:t>Total EL</w:t>
            </w:r>
          </w:p>
        </w:tc>
        <w:tc>
          <w:tcPr>
            <w:tcW w:type="dxa" w:w="1728"/>
            <w:shd w:fill="eb6834"/>
          </w:tcPr>
          <w:p>
            <w:r>
              <w:rPr>
                <w:b/>
                <w:color w:val="FFFFFF"/>
              </w:rPr>
              <w:t>Total Capital</w:t>
            </w:r>
          </w:p>
        </w:tc>
        <w:tc>
          <w:tcPr>
            <w:tcW w:type="dxa" w:w="1728"/>
            <w:shd w:fill="eb6834"/>
          </w:tcPr>
          <w:p>
            <w:r>
              <w:rPr>
                <w:b/>
                <w:color w:val="FFFFFF"/>
              </w:rPr>
              <w:t>Capital / EAD</w:t>
            </w:r>
          </w:p>
        </w:tc>
      </w:tr>
      <w:tr>
        <w:tc>
          <w:tcPr>
            <w:tcW w:type="dxa" w:w="1728"/>
          </w:tcPr>
          <w:p>
            <w:r>
              <w:t>Tier 1</w:t>
            </w:r>
          </w:p>
        </w:tc>
        <w:tc>
          <w:tcPr>
            <w:tcW w:type="dxa" w:w="1728"/>
          </w:tcPr>
          <w:p>
            <w:r>
              <w:t>142,201</w:t>
            </w:r>
          </w:p>
        </w:tc>
        <w:tc>
          <w:tcPr>
            <w:tcW w:type="dxa" w:w="1728"/>
          </w:tcPr>
          <w:p>
            <w:r>
              <w:t>$664,380,524 ($664.4M)</w:t>
            </w:r>
          </w:p>
        </w:tc>
        <w:tc>
          <w:tcPr>
            <w:tcW w:type="dxa" w:w="1728"/>
          </w:tcPr>
          <w:p>
            <w:r>
              <w:t>$3,388,625,881 ($3.39B)</w:t>
            </w:r>
          </w:p>
        </w:tc>
        <w:tc>
          <w:tcPr>
            <w:tcW w:type="dxa" w:w="1728"/>
          </w:tcPr>
          <w:p>
            <w:r>
              <w:t>3.76%</w:t>
            </w:r>
          </w:p>
        </w:tc>
      </w:tr>
      <w:tr>
        <w:tc>
          <w:tcPr>
            <w:tcW w:type="dxa" w:w="1728"/>
          </w:tcPr>
          <w:p>
            <w:r>
              <w:t>Tier 2</w:t>
            </w:r>
          </w:p>
        </w:tc>
        <w:tc>
          <w:tcPr>
            <w:tcW w:type="dxa" w:w="1728"/>
          </w:tcPr>
          <w:p>
            <w:r>
              <w:t>67,539</w:t>
            </w:r>
          </w:p>
        </w:tc>
        <w:tc>
          <w:tcPr>
            <w:tcW w:type="dxa" w:w="1728"/>
          </w:tcPr>
          <w:p>
            <w:r>
              <w:t>$701,106,468 ($701.1M)</w:t>
            </w:r>
          </w:p>
        </w:tc>
        <w:tc>
          <w:tcPr>
            <w:tcW w:type="dxa" w:w="1728"/>
          </w:tcPr>
          <w:p>
            <w:r>
              <w:t>$2,279,580,370 ($2.28B)</w:t>
            </w:r>
          </w:p>
        </w:tc>
        <w:tc>
          <w:tcPr>
            <w:tcW w:type="dxa" w:w="1728"/>
          </w:tcPr>
          <w:p>
            <w:r>
              <w:t>5.57%</w:t>
            </w:r>
          </w:p>
        </w:tc>
      </w:tr>
      <w:tr>
        <w:tc>
          <w:tcPr>
            <w:tcW w:type="dxa" w:w="1728"/>
          </w:tcPr>
          <w:p>
            <w:r>
              <w:t>Tier 3</w:t>
            </w:r>
          </w:p>
        </w:tc>
        <w:tc>
          <w:tcPr>
            <w:tcW w:type="dxa" w:w="1728"/>
          </w:tcPr>
          <w:p>
            <w:r>
              <w:t>35,800</w:t>
            </w:r>
          </w:p>
        </w:tc>
        <w:tc>
          <w:tcPr>
            <w:tcW w:type="dxa" w:w="1728"/>
          </w:tcPr>
          <w:p>
            <w:r>
              <w:t>$565,927,078 ($565.9M)</w:t>
            </w:r>
          </w:p>
        </w:tc>
        <w:tc>
          <w:tcPr>
            <w:tcW w:type="dxa" w:w="1728"/>
          </w:tcPr>
          <w:p>
            <w:r>
              <w:t>$1,376,746,869 ($1.38B)</w:t>
            </w:r>
          </w:p>
        </w:tc>
        <w:tc>
          <w:tcPr>
            <w:tcW w:type="dxa" w:w="1728"/>
          </w:tcPr>
          <w:p>
            <w:r>
              <w:t>6.73%</w:t>
            </w:r>
          </w:p>
        </w:tc>
      </w:tr>
      <w:tr>
        <w:tc>
          <w:tcPr>
            <w:tcW w:type="dxa" w:w="1728"/>
          </w:tcPr>
          <w:p>
            <w:r>
              <w:t>Tier 4</w:t>
            </w:r>
          </w:p>
        </w:tc>
        <w:tc>
          <w:tcPr>
            <w:tcW w:type="dxa" w:w="1728"/>
          </w:tcPr>
          <w:p>
            <w:r>
              <w:t>28,697</w:t>
            </w:r>
          </w:p>
        </w:tc>
        <w:tc>
          <w:tcPr>
            <w:tcW w:type="dxa" w:w="1728"/>
          </w:tcPr>
          <w:p>
            <w:r>
              <w:t>$637,188,207 ($637.2M)</w:t>
            </w:r>
          </w:p>
        </w:tc>
        <w:tc>
          <w:tcPr>
            <w:tcW w:type="dxa" w:w="1728"/>
          </w:tcPr>
          <w:p>
            <w:r>
              <w:t>$1,217,700,423 ($1.22B)</w:t>
            </w:r>
          </w:p>
        </w:tc>
        <w:tc>
          <w:tcPr>
            <w:tcW w:type="dxa" w:w="1728"/>
          </w:tcPr>
          <w:p>
            <w:r>
              <w:t>7.77%</w:t>
            </w:r>
          </w:p>
        </w:tc>
      </w:tr>
      <w:tr>
        <w:tc>
          <w:tcPr>
            <w:tcW w:type="dxa" w:w="1728"/>
          </w:tcPr>
          <w:p>
            <w:r>
              <w:t>Tier 5</w:t>
            </w:r>
          </w:p>
        </w:tc>
        <w:tc>
          <w:tcPr>
            <w:tcW w:type="dxa" w:w="1728"/>
          </w:tcPr>
          <w:p>
            <w:r>
              <w:t>24,049</w:t>
            </w:r>
          </w:p>
        </w:tc>
        <w:tc>
          <w:tcPr>
            <w:tcW w:type="dxa" w:w="1728"/>
          </w:tcPr>
          <w:p>
            <w:r>
              <w:t>$812,607,287 ($812.6M)</w:t>
            </w:r>
          </w:p>
        </w:tc>
        <w:tc>
          <w:tcPr>
            <w:tcW w:type="dxa" w:w="1728"/>
          </w:tcPr>
          <w:p>
            <w:r>
              <w:t>$1,099,166,330 ($1.10B)</w:t>
            </w:r>
          </w:p>
        </w:tc>
        <w:tc>
          <w:tcPr>
            <w:tcW w:type="dxa" w:w="1728"/>
          </w:tcPr>
          <w:p>
            <w:r>
              <w:t>8.82%</w:t>
            </w:r>
          </w:p>
        </w:tc>
      </w:tr>
      <w:tr>
        <w:tc>
          <w:tcPr>
            <w:tcW w:type="dxa" w:w="1728"/>
          </w:tcPr>
          <w:p>
            <w:r>
              <w:t>Tier 6</w:t>
            </w:r>
          </w:p>
        </w:tc>
        <w:tc>
          <w:tcPr>
            <w:tcW w:type="dxa" w:w="1728"/>
          </w:tcPr>
          <w:p>
            <w:r>
              <w:t>9,225</w:t>
            </w:r>
          </w:p>
        </w:tc>
        <w:tc>
          <w:tcPr>
            <w:tcW w:type="dxa" w:w="1728"/>
          </w:tcPr>
          <w:p>
            <w:r>
              <w:t>$536,436,169 ($536.4M)</w:t>
            </w:r>
          </w:p>
        </w:tc>
        <w:tc>
          <w:tcPr>
            <w:tcW w:type="dxa" w:w="1728"/>
          </w:tcPr>
          <w:p>
            <w:r>
              <w:t>$395,088,439 ($395.1M)</w:t>
            </w:r>
          </w:p>
        </w:tc>
        <w:tc>
          <w:tcPr>
            <w:tcW w:type="dxa" w:w="1728"/>
          </w:tcPr>
          <w:p>
            <w:r>
              <w:t>8.74%</w:t>
            </w:r>
          </w:p>
        </w:tc>
      </w:tr>
    </w:tbl>
    <w:p>
      <w:pPr>
        <w:spacing w:before="240" w:after="240"/>
        <w:rPr>
          <w:i/>
          <w:sz w:val="18"/>
          <w:color w:val="595959"/>
        </w:rPr>
      </w:pPr>
      <w:r>
        <w:rPr>
          <w:i/>
          <w:sz w:val="18"/>
          <w:color w:val="595959"/>
        </w:rPr>
        <w:t xml:space="preserve">Important notice: figures in this report combine real, notebook-computed results with clearly labeled assumption-based estimates. All results are unaudited and have not been independently verified. This report is provided for illustrative purposes only and does not constitute audited financial statements, investment advice, or a production deployment certification.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