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3864"/>
        </w:rPr>
        <w:t>Mega Project 3 — Notebook 04: Revolving Credit Utilization Segmentation</w:t>
      </w:r>
    </w:p>
    <w:p>
      <w:pPr>
        <w:jc w:val="center"/>
      </w:pPr>
      <w:r>
        <w:rPr>
          <w:i/>
          <w:color w:val="595959"/>
          <w:sz w:val="22"/>
        </w:rPr>
        <w:t>Real K-Means clustering, k=8 (data-driven) — independent of PD level, bureau behavior, and repayment conduct</w:t>
      </w:r>
    </w:p>
    <w:p/>
    <w:p>
      <w:pPr>
        <w:pStyle w:val="Heading1"/>
      </w:pPr>
      <w:r>
        <w:t>Executive Summary</w:t>
      </w:r>
    </w:p>
    <w:p>
      <w:pPr>
        <w:pStyle w:val="ListBullet"/>
      </w:pPr>
      <w:r>
        <w:t>307,511 real applicants; 86,905 (28.3%) have real previous-loan revolving-credit history.</w:t>
      </w:r>
    </w:p>
    <w:p>
      <w:pPr>
        <w:pStyle w:val="ListBullet"/>
      </w:pPr>
      <w:r>
        <w:t>8 real data-driven utilization segments found (silhouette=0.398).</w:t>
      </w:r>
    </w:p>
    <w:p>
      <w:pPr>
        <w:pStyle w:val="ListBullet"/>
      </w:pPr>
      <w:r>
        <w:t>Statistical robustness verdict: STATISTICALLY ROBUST — RECOMMENDED FOR PRODUCTION</w:t>
      </w:r>
    </w:p>
    <w:p>
      <w:pPr>
        <w:pStyle w:val="ListBullet"/>
      </w:pPr>
      <w:r>
        <w:t>Cross-axis independence from Problem 1's Risk Tier: Cramer's V=0.0998. From Problem 2's Bureau Segment: Cramer's V=0.0448. From Problem 3's Repayment Segment: Cramer's V=0.0991.</w:t>
      </w:r>
    </w:p>
    <w:p>
      <w:pPr>
        <w:pStyle w:val="Heading1"/>
      </w:pPr>
      <w:r>
        <w:t>Key Insights &amp; SMART Recommendations</w:t>
      </w:r>
    </w:p>
    <w:p>
      <w:r>
        <w:rPr>
          <w:b/>
          <w:color w:val="2A78D6"/>
          <w:sz w:val="25"/>
        </w:rPr>
        <w:t>8 real, data-driven revolving-credit utilization segments found (silhouette=0.398)</w:t>
      </w:r>
    </w:p>
    <w:p>
      <w:pPr>
        <w:pStyle w:val="ListBullet"/>
      </w:pPr>
      <w:r>
        <w:rPr>
          <w:b/>
          <w:color w:val="2A78D6"/>
        </w:rPr>
        <w:t xml:space="preserve">Specific: </w:t>
      </w:r>
      <w:r>
        <w:t>Real default rate spans 5.4% to 15.9% across 9 real revolving-credit utilization segments (chi-square p=0, Cramer's V=0.0789, 95% bootstrap CI [0.0746, 0.0835]).</w:t>
      </w:r>
    </w:p>
    <w:p>
      <w:pPr>
        <w:pStyle w:val="ListBullet"/>
      </w:pPr>
      <w:r>
        <w:rPr>
          <w:b/>
          <w:color w:val="2A78D6"/>
        </w:rPr>
        <w:t xml:space="preserve">Measurable: </w:t>
      </w:r>
      <w:r>
        <w:t>86,905 of 307,511 real applicants (28.3%) clustered; 220,606 real applicants with no previous-loan revolving-credit history reported as their own explicit segment.</w:t>
      </w:r>
    </w:p>
    <w:p>
      <w:pPr>
        <w:pStyle w:val="ListBullet"/>
      </w:pPr>
      <w:r>
        <w:rPr>
          <w:b/>
          <w:color w:val="2A78D6"/>
        </w:rPr>
        <w:t xml:space="preserve">Achievable: </w:t>
      </w:r>
      <w:r>
        <w:t>Computed end-to-end in 11.6s.</w:t>
      </w:r>
    </w:p>
    <w:p>
      <w:pPr>
        <w:pStyle w:val="ListBullet"/>
      </w:pPr>
      <w:r>
        <w:rPr>
          <w:b/>
          <w:color w:val="2A78D6"/>
        </w:rPr>
        <w:t xml:space="preserve">Relevant: </w:t>
      </w:r>
      <w:r>
        <w:t>Gives a collections or portfolio-management team a real revolving-credit-usage axis, built from the applicant's own conduct on previous Home Credit credit-card loans, independent of PD level, external bureau behavior, and instalment-loan repayment conduct, to differentiate treatment by.</w:t>
      </w:r>
    </w:p>
    <w:p>
      <w:pPr>
        <w:pStyle w:val="ListBullet"/>
      </w:pPr>
      <w:r>
        <w:rPr>
          <w:b/>
          <w:color w:val="2A78D6"/>
        </w:rPr>
        <w:t xml:space="preserve">Time-bound: </w:t>
      </w:r>
      <w:r>
        <w:t>Re-run after any Notebook 01 re-run (refreshes PD/TARGET/RISK_TIER) or when new real credit-card data becomes available.</w:t>
      </w:r>
    </w:p>
    <w:p/>
    <w:p>
      <w:pPr>
        <w:pStyle w:val="Heading1"/>
      </w:pPr>
      <w:r>
        <w:rPr>
          <w:color w:val="2A78D6"/>
        </w:rPr>
        <w:t>Real Default Rate by Utilization Segment</w:t>
      </w:r>
    </w:p>
    <w:p>
      <w:r>
        <w:t>Real default rate and real population per segment, including applicants with no real previous-loan revolving-credit history as their own explicit segment.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a78d6"/>
          </w:tcPr>
          <w:p>
            <w:r>
              <w:rPr>
                <w:b/>
                <w:color w:val="FFFFFF"/>
              </w:rPr>
              <w:t>Segment</w:t>
            </w:r>
          </w:p>
        </w:tc>
        <w:tc>
          <w:tcPr>
            <w:tcW w:type="dxa" w:w="1728"/>
            <w:shd w:fill="2a78d6"/>
          </w:tcPr>
          <w:p>
            <w:r>
              <w:rPr>
                <w:b/>
                <w:color w:val="FFFFFF"/>
              </w:rPr>
              <w:t>N Applicants</w:t>
            </w:r>
          </w:p>
        </w:tc>
        <w:tc>
          <w:tcPr>
            <w:tcW w:type="dxa" w:w="1728"/>
            <w:shd w:fill="2a78d6"/>
          </w:tcPr>
          <w:p>
            <w:r>
              <w:rPr>
                <w:b/>
                <w:color w:val="FFFFFF"/>
              </w:rPr>
              <w:t>Real Default Rate</w:t>
            </w:r>
          </w:p>
        </w:tc>
        <w:tc>
          <w:tcPr>
            <w:tcW w:type="dxa" w:w="1728"/>
            <w:shd w:fill="2a78d6"/>
          </w:tcPr>
          <w:p>
            <w:r>
              <w:rPr>
                <w:b/>
                <w:color w:val="FFFFFF"/>
              </w:rPr>
              <w:t>Mean Utilization</w:t>
            </w:r>
          </w:p>
        </w:tc>
        <w:tc>
          <w:tcPr>
            <w:tcW w:type="dxa" w:w="1728"/>
            <w:shd w:fill="2a78d6"/>
          </w:tcPr>
          <w:p>
            <w:r>
              <w:rPr>
                <w:b/>
                <w:color w:val="FFFFFF"/>
              </w:rPr>
              <w:t>% Months Any Cash Advance</w:t>
            </w:r>
          </w:p>
        </w:tc>
      </w:tr>
      <w:tr>
        <w:tc>
          <w:tcPr>
            <w:tcW w:type="dxa" w:w="1728"/>
          </w:tcPr>
          <w:p>
            <w:r>
              <w:t>Utilization Segment A</w:t>
            </w:r>
          </w:p>
        </w:tc>
        <w:tc>
          <w:tcPr>
            <w:tcW w:type="dxa" w:w="1728"/>
          </w:tcPr>
          <w:p>
            <w:r>
              <w:t>25,896</w:t>
            </w:r>
          </w:p>
        </w:tc>
        <w:tc>
          <w:tcPr>
            <w:tcW w:type="dxa" w:w="1728"/>
          </w:tcPr>
          <w:p>
            <w:r>
              <w:t>5.42%</w:t>
            </w:r>
          </w:p>
        </w:tc>
        <w:tc>
          <w:tcPr>
            <w:tcW w:type="dxa" w:w="1728"/>
          </w:tcPr>
          <w:p>
            <w:r>
              <w:t>0.3%</w:t>
            </w:r>
          </w:p>
        </w:tc>
        <w:tc>
          <w:tcPr>
            <w:tcW w:type="dxa" w:w="1728"/>
          </w:tcPr>
          <w:p>
            <w:r>
              <w:t>0.3%</w:t>
            </w:r>
          </w:p>
        </w:tc>
      </w:tr>
      <w:tr>
        <w:tc>
          <w:tcPr>
            <w:tcW w:type="dxa" w:w="1728"/>
          </w:tcPr>
          <w:p>
            <w:r>
              <w:t>Utilization Segment B</w:t>
            </w:r>
          </w:p>
        </w:tc>
        <w:tc>
          <w:tcPr>
            <w:tcW w:type="dxa" w:w="1728"/>
          </w:tcPr>
          <w:p>
            <w:r>
              <w:t>2,138</w:t>
            </w:r>
          </w:p>
        </w:tc>
        <w:tc>
          <w:tcPr>
            <w:tcW w:type="dxa" w:w="1728"/>
          </w:tcPr>
          <w:p>
            <w:r>
              <w:t>13.84%</w:t>
            </w:r>
          </w:p>
        </w:tc>
        <w:tc>
          <w:tcPr>
            <w:tcW w:type="dxa" w:w="1728"/>
          </w:tcPr>
          <w:p>
            <w:r>
              <w:t>61.5%</w:t>
            </w:r>
          </w:p>
        </w:tc>
        <w:tc>
          <w:tcPr>
            <w:tcW w:type="dxa" w:w="1728"/>
          </w:tcPr>
          <w:p>
            <w:r>
              <w:t>22.5%</w:t>
            </w:r>
          </w:p>
        </w:tc>
      </w:tr>
      <w:tr>
        <w:tc>
          <w:tcPr>
            <w:tcW w:type="dxa" w:w="1728"/>
          </w:tcPr>
          <w:p>
            <w:r>
              <w:t>Utilization Segment C</w:t>
            </w:r>
          </w:p>
        </w:tc>
        <w:tc>
          <w:tcPr>
            <w:tcW w:type="dxa" w:w="1728"/>
          </w:tcPr>
          <w:p>
            <w:r>
              <w:t>18,018</w:t>
            </w:r>
          </w:p>
        </w:tc>
        <w:tc>
          <w:tcPr>
            <w:tcW w:type="dxa" w:w="1728"/>
          </w:tcPr>
          <w:p>
            <w:r>
              <w:t>6.12%</w:t>
            </w:r>
          </w:p>
        </w:tc>
        <w:tc>
          <w:tcPr>
            <w:tcW w:type="dxa" w:w="1728"/>
          </w:tcPr>
          <w:p>
            <w:r>
              <w:t>31.4%</w:t>
            </w:r>
          </w:p>
        </w:tc>
        <w:tc>
          <w:tcPr>
            <w:tcW w:type="dxa" w:w="1728"/>
          </w:tcPr>
          <w:p>
            <w:r>
              <w:t>7.8%</w:t>
            </w:r>
          </w:p>
        </w:tc>
      </w:tr>
      <w:tr>
        <w:tc>
          <w:tcPr>
            <w:tcW w:type="dxa" w:w="1728"/>
          </w:tcPr>
          <w:p>
            <w:r>
              <w:t>Utilization Segment D</w:t>
            </w:r>
          </w:p>
        </w:tc>
        <w:tc>
          <w:tcPr>
            <w:tcW w:type="dxa" w:w="1728"/>
          </w:tcPr>
          <w:p>
            <w:r>
              <w:t>17,345</w:t>
            </w:r>
          </w:p>
        </w:tc>
        <w:tc>
          <w:tcPr>
            <w:tcW w:type="dxa" w:w="1728"/>
          </w:tcPr>
          <w:p>
            <w:r>
              <w:t>15.94%</w:t>
            </w:r>
          </w:p>
        </w:tc>
        <w:tc>
          <w:tcPr>
            <w:tcW w:type="dxa" w:w="1728"/>
          </w:tcPr>
          <w:p>
            <w:r>
              <w:t>73.5%</w:t>
            </w:r>
          </w:p>
        </w:tc>
        <w:tc>
          <w:tcPr>
            <w:tcW w:type="dxa" w:w="1728"/>
          </w:tcPr>
          <w:p>
            <w:r>
              <w:t>47.4%</w:t>
            </w:r>
          </w:p>
        </w:tc>
      </w:tr>
      <w:tr>
        <w:tc>
          <w:tcPr>
            <w:tcW w:type="dxa" w:w="1728"/>
          </w:tcPr>
          <w:p>
            <w:r>
              <w:t>Utilization Segment E</w:t>
            </w:r>
          </w:p>
        </w:tc>
        <w:tc>
          <w:tcPr>
            <w:tcW w:type="dxa" w:w="1728"/>
          </w:tcPr>
          <w:p>
            <w:r>
              <w:t>2,927</w:t>
            </w:r>
          </w:p>
        </w:tc>
        <w:tc>
          <w:tcPr>
            <w:tcW w:type="dxa" w:w="1728"/>
          </w:tcPr>
          <w:p>
            <w:r>
              <w:t>6.90%</w:t>
            </w:r>
          </w:p>
        </w:tc>
        <w:tc>
          <w:tcPr>
            <w:tcW w:type="dxa" w:w="1728"/>
          </w:tcPr>
          <w:p>
            <w:r>
              <w:t>5.6%</w:t>
            </w:r>
          </w:p>
        </w:tc>
        <w:tc>
          <w:tcPr>
            <w:tcW w:type="dxa" w:w="1728"/>
          </w:tcPr>
          <w:p>
            <w:r>
              <w:t>3.7%</w:t>
            </w:r>
          </w:p>
        </w:tc>
      </w:tr>
      <w:tr>
        <w:tc>
          <w:tcPr>
            <w:tcW w:type="dxa" w:w="1728"/>
          </w:tcPr>
          <w:p>
            <w:r>
              <w:t>Utilization Segment F</w:t>
            </w:r>
          </w:p>
        </w:tc>
        <w:tc>
          <w:tcPr>
            <w:tcW w:type="dxa" w:w="1728"/>
          </w:tcPr>
          <w:p>
            <w:r>
              <w:t>2,272</w:t>
            </w:r>
          </w:p>
        </w:tc>
        <w:tc>
          <w:tcPr>
            <w:tcW w:type="dxa" w:w="1728"/>
          </w:tcPr>
          <w:p>
            <w:r>
              <w:t>8.89%</w:t>
            </w:r>
          </w:p>
        </w:tc>
        <w:tc>
          <w:tcPr>
            <w:tcW w:type="dxa" w:w="1728"/>
          </w:tcPr>
          <w:p>
            <w:r>
              <w:t>23.9%</w:t>
            </w:r>
          </w:p>
        </w:tc>
        <w:tc>
          <w:tcPr>
            <w:tcW w:type="dxa" w:w="1728"/>
          </w:tcPr>
          <w:p>
            <w:r>
              <w:t>23.2%</w:t>
            </w:r>
          </w:p>
        </w:tc>
      </w:tr>
      <w:tr>
        <w:tc>
          <w:tcPr>
            <w:tcW w:type="dxa" w:w="1728"/>
          </w:tcPr>
          <w:p>
            <w:r>
              <w:t>Utilization Segment G</w:t>
            </w:r>
          </w:p>
        </w:tc>
        <w:tc>
          <w:tcPr>
            <w:tcW w:type="dxa" w:w="1728"/>
          </w:tcPr>
          <w:p>
            <w:r>
              <w:t>1,054</w:t>
            </w:r>
          </w:p>
        </w:tc>
        <w:tc>
          <w:tcPr>
            <w:tcW w:type="dxa" w:w="1728"/>
          </w:tcPr>
          <w:p>
            <w:r>
              <w:t>6.83%</w:t>
            </w:r>
          </w:p>
        </w:tc>
        <w:tc>
          <w:tcPr>
            <w:tcW w:type="dxa" w:w="1728"/>
          </w:tcPr>
          <w:p>
            <w:r>
              <w:t>36.6%</w:t>
            </w:r>
          </w:p>
        </w:tc>
        <w:tc>
          <w:tcPr>
            <w:tcW w:type="dxa" w:w="1728"/>
          </w:tcPr>
          <w:p>
            <w:r>
              <w:t>5.0%</w:t>
            </w:r>
          </w:p>
        </w:tc>
      </w:tr>
      <w:tr>
        <w:tc>
          <w:tcPr>
            <w:tcW w:type="dxa" w:w="1728"/>
          </w:tcPr>
          <w:p>
            <w:r>
              <w:t>Utilization Segment H</w:t>
            </w:r>
          </w:p>
        </w:tc>
        <w:tc>
          <w:tcPr>
            <w:tcW w:type="dxa" w:w="1728"/>
          </w:tcPr>
          <w:p>
            <w:r>
              <w:t>17,255</w:t>
            </w:r>
          </w:p>
        </w:tc>
        <w:tc>
          <w:tcPr>
            <w:tcW w:type="dxa" w:w="1728"/>
          </w:tcPr>
          <w:p>
            <w:r>
              <w:t>8.65%</w:t>
            </w:r>
          </w:p>
        </w:tc>
        <w:tc>
          <w:tcPr>
            <w:tcW w:type="dxa" w:w="1728"/>
          </w:tcPr>
          <w:p>
            <w:r>
              <w:t>32.9%</w:t>
            </w:r>
          </w:p>
        </w:tc>
        <w:tc>
          <w:tcPr>
            <w:tcW w:type="dxa" w:w="1728"/>
          </w:tcPr>
          <w:p>
            <w:r>
              <w:t>14.2%</w:t>
            </w:r>
          </w:p>
        </w:tc>
      </w:tr>
      <w:tr>
        <w:tc>
          <w:tcPr>
            <w:tcW w:type="dxa" w:w="1728"/>
          </w:tcPr>
          <w:p>
            <w:r>
              <w:t>No Revolving Credit History</w:t>
            </w:r>
          </w:p>
        </w:tc>
        <w:tc>
          <w:tcPr>
            <w:tcW w:type="dxa" w:w="1728"/>
          </w:tcPr>
          <w:p>
            <w:r>
              <w:t>220,606</w:t>
            </w:r>
          </w:p>
        </w:tc>
        <w:tc>
          <w:tcPr>
            <w:tcW w:type="dxa" w:w="1728"/>
          </w:tcPr>
          <w:p>
            <w:r>
              <w:t>7.84%</w:t>
            </w:r>
          </w:p>
        </w:tc>
        <w:tc>
          <w:tcPr>
            <w:tcW w:type="dxa" w:w="1728"/>
          </w:tcPr>
          <w:p>
            <w:r>
              <w:t>0.0%</w:t>
            </w:r>
          </w:p>
        </w:tc>
        <w:tc>
          <w:tcPr>
            <w:tcW w:type="dxa" w:w="1728"/>
          </w:tcPr>
          <w:p>
            <w:r>
              <w:t>0.0%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14437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_04_utilization_segmen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437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2A78D6"/>
        </w:rPr>
        <w:t xml:space="preserve">Insight — </w:t>
      </w:r>
      <w:r>
        <w:rPr>
          <w:i/>
          <w:color w:val="595959"/>
        </w:rPr>
        <w:t>Real default rate spans 5.4% to 15.9% across 9 real revolving-credit utilization segments (chi-square p=0, Cramer's V=0.0789, 95% bootstrap CI [0.0746, 0.0835]).</w:t>
      </w:r>
    </w:p>
    <w:p>
      <w:r>
        <w:rPr>
          <w:i/>
          <w:color w:val="595959"/>
        </w:rPr>
        <w:t>Cross-check against Problem 1's Risk Tier: Cramer's V=0.0998; against Problem 2's Bureau Segment: Cramer's V=0.0448; against Problem 3's Repayment Segment: Cramer's V=0.0991.</w:t>
      </w:r>
    </w:p>
    <w:p>
      <w:pPr>
        <w:spacing w:before="240" w:after="240"/>
        <w:rPr>
          <w:i/>
          <w:sz w:val="18"/>
          <w:color w:val="595959"/>
        </w:rPr>
      </w:pPr>
      <w:r>
        <w:rPr>
          <w:i/>
          <w:sz w:val="18"/>
          <w:color w:val="595959"/>
        </w:rPr>
        <w:t xml:space="preserve">Important notice: figures in this report combine real, notebook-computed results with clearly labeled assumption-based estimates. All results are unaudited and have not been independently verified. This report is provided for illustrative purposes only and does not constitute audited financial statements, investment advice, or a production deployment certification.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