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3 — Notebook 05: Cross-Axis Risk-Return Synthesis</w:t>
      </w:r>
    </w:p>
    <w:p>
      <w:pPr>
        <w:jc w:val="center"/>
      </w:pPr>
      <w:r>
        <w:rPr>
          <w:i/>
          <w:color w:val="595959"/>
          <w:sz w:val="22"/>
        </w:rPr>
        <w:t>4 real segmentation axis(es), no new modeling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307,511 real applicants synthesized across 4 real segmentation axis(es): Risk Tier, Bureau Segment, Repayment Segment, Utilization Segment.</w:t>
      </w:r>
    </w:p>
    <w:p>
      <w:pPr>
        <w:pStyle w:val="ListBullet"/>
      </w:pPr>
      <w:r>
        <w:t>Widest real risk differentiation: Risk Tier (48.92% spread).</w:t>
      </w:r>
    </w:p>
    <w:p>
      <w:pPr>
        <w:pStyle w:val="ListBullet"/>
      </w:pPr>
      <w:r>
        <w:t>Synthesis verdict: SYNTHESIS VALIDATED — CAPITAL TRACKS RISK AS EXPECTED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Risk Tier differentiates real risk most sharply (48.92% default-rate spread across 6 real segments)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Real default-rate spread by axis (widest to narrowest): Risk Tier=48.92%, Utilization Segment=10.51%, Bureau Segment=5.37%, Repayment Segment=2.42%.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4 real segmentation axis(es) synthesized across 307,511 real applicants; real capital enrichment included.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Computed end-to-end in 2.6s from already-produced real outputs -- no new modeling, no raw data re-read.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collections or portfolio-management team a single, honest cross-axis view of which real segmentation (risk level, external bureau behavior, instalment repayment conduct, or revolving-credit usage) most sharply separates real risk and real capital consumption, to prioritize which axis to act on.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upstream notebook (Notebook 01, MP2 Notebook 01, or this project's Notebooks 02-04) re-run refreshes its real output.</w:t>
      </w:r>
    </w:p>
    <w:p/>
    <w:p>
      <w:pPr>
        <w:pStyle w:val="Heading1"/>
      </w:pPr>
      <w:r>
        <w:rPr>
          <w:color w:val="2A78D6"/>
        </w:rPr>
        <w:t>Real Cross-Axis Risk-Return Summary</w:t>
      </w:r>
    </w:p>
    <w:p>
      <w:r>
        <w:t>Real default-rate (and, when available, real capital-rate) spread per real segmentation axis -- the wider the spread, the more sharply that axis differentiates real risk.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axis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n_segments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default_rate_min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default_rate_max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default_rate_spread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capital_rate_min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capital_rate_max</w:t>
            </w:r>
          </w:p>
        </w:tc>
        <w:tc>
          <w:tcPr>
            <w:tcW w:type="dxa" w:w="1080"/>
            <w:shd w:fill="2a78d6"/>
          </w:tcPr>
          <w:p>
            <w:r>
              <w:rPr>
                <w:b/>
                <w:color w:val="FFFFFF"/>
              </w:rPr>
              <w:t>capital_rate_spread</w:t>
            </w:r>
          </w:p>
        </w:tc>
      </w:tr>
      <w:tr>
        <w:tc>
          <w:tcPr>
            <w:tcW w:type="dxa" w:w="1080"/>
          </w:tcPr>
          <w:p>
            <w:r>
              <w:t>Risk Tier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0.016729840155835753</w:t>
            </w:r>
          </w:p>
        </w:tc>
        <w:tc>
          <w:tcPr>
            <w:tcW w:type="dxa" w:w="1080"/>
          </w:tcPr>
          <w:p>
            <w:r>
              <w:t>0.5059078590785908</w:t>
            </w:r>
          </w:p>
        </w:tc>
        <w:tc>
          <w:tcPr>
            <w:tcW w:type="dxa" w:w="1080"/>
          </w:tcPr>
          <w:p>
            <w:r>
              <w:t>0.4891780189227551</w:t>
            </w:r>
          </w:p>
        </w:tc>
        <w:tc>
          <w:tcPr>
            <w:tcW w:type="dxa" w:w="1080"/>
          </w:tcPr>
          <w:p>
            <w:r>
              <w:t>0.03757439964339193</w:t>
            </w:r>
          </w:p>
        </w:tc>
        <w:tc>
          <w:tcPr>
            <w:tcW w:type="dxa" w:w="1080"/>
          </w:tcPr>
          <w:p>
            <w:r>
              <w:t>0.08821194649213307</w:t>
            </w:r>
          </w:p>
        </w:tc>
        <w:tc>
          <w:tcPr>
            <w:tcW w:type="dxa" w:w="1080"/>
          </w:tcPr>
          <w:p>
            <w:r>
              <w:t>0.05063754684874114</w:t>
            </w:r>
          </w:p>
        </w:tc>
      </w:tr>
      <w:tr>
        <w:tc>
          <w:tcPr>
            <w:tcW w:type="dxa" w:w="1080"/>
          </w:tcPr>
          <w:p>
            <w:r>
              <w:t>Utilization Segment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0.05421686746987952</w:t>
            </w:r>
          </w:p>
        </w:tc>
        <w:tc>
          <w:tcPr>
            <w:tcW w:type="dxa" w:w="1080"/>
          </w:tcPr>
          <w:p>
            <w:r>
              <w:t>0.15935428077255692</w:t>
            </w:r>
          </w:p>
        </w:tc>
        <w:tc>
          <w:tcPr>
            <w:tcW w:type="dxa" w:w="1080"/>
          </w:tcPr>
          <w:p>
            <w:r>
              <w:t>0.1051374133026774</w:t>
            </w:r>
          </w:p>
        </w:tc>
        <w:tc>
          <w:tcPr>
            <w:tcW w:type="dxa" w:w="1080"/>
          </w:tcPr>
          <w:p>
            <w:r>
              <w:t>0.04904715773642258</w:t>
            </w:r>
          </w:p>
        </w:tc>
        <w:tc>
          <w:tcPr>
            <w:tcW w:type="dxa" w:w="1080"/>
          </w:tcPr>
          <w:p>
            <w:r>
              <w:t>0.06715459102229428</w:t>
            </w:r>
          </w:p>
        </w:tc>
        <w:tc>
          <w:tcPr>
            <w:tcW w:type="dxa" w:w="1080"/>
          </w:tcPr>
          <w:p>
            <w:r>
              <w:t>0.0181074332858717</w:t>
            </w:r>
          </w:p>
        </w:tc>
      </w:tr>
      <w:tr>
        <w:tc>
          <w:tcPr>
            <w:tcW w:type="dxa" w:w="1080"/>
          </w:tcPr>
          <w:p>
            <w:r>
              <w:t>Bureau Segment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0.07000627457006389</w:t>
            </w:r>
          </w:p>
        </w:tc>
        <w:tc>
          <w:tcPr>
            <w:tcW w:type="dxa" w:w="1080"/>
          </w:tcPr>
          <w:p>
            <w:r>
              <w:t>0.12373919308357349</w:t>
            </w:r>
          </w:p>
        </w:tc>
        <w:tc>
          <w:tcPr>
            <w:tcW w:type="dxa" w:w="1080"/>
          </w:tcPr>
          <w:p>
            <w:r>
              <w:t>0.0537329185135096</w:t>
            </w:r>
          </w:p>
        </w:tc>
        <w:tc>
          <w:tcPr>
            <w:tcW w:type="dxa" w:w="1080"/>
          </w:tcPr>
          <w:p>
            <w:r>
              <w:t>0.050529605156772156</w:t>
            </w:r>
          </w:p>
        </w:tc>
        <w:tc>
          <w:tcPr>
            <w:tcW w:type="dxa" w:w="1080"/>
          </w:tcPr>
          <w:p>
            <w:r>
              <w:t>0.06092956442811318</w:t>
            </w:r>
          </w:p>
        </w:tc>
        <w:tc>
          <w:tcPr>
            <w:tcW w:type="dxa" w:w="1080"/>
          </w:tcPr>
          <w:p>
            <w:r>
              <w:t>0.010399959271341026</w:t>
            </w:r>
          </w:p>
        </w:tc>
      </w:tr>
      <w:tr>
        <w:tc>
          <w:tcPr>
            <w:tcW w:type="dxa" w:w="1080"/>
          </w:tcPr>
          <w:p>
            <w:r>
              <w:t>Repayment Segment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0.05980589866397782</w:t>
            </w:r>
          </w:p>
        </w:tc>
        <w:tc>
          <w:tcPr>
            <w:tcW w:type="dxa" w:w="1080"/>
          </w:tcPr>
          <w:p>
            <w:r>
              <w:t>0.08402948402948403</w:t>
            </w:r>
          </w:p>
        </w:tc>
        <w:tc>
          <w:tcPr>
            <w:tcW w:type="dxa" w:w="1080"/>
          </w:tcPr>
          <w:p>
            <w:r>
              <w:t>0.024223585365506208</w:t>
            </w:r>
          </w:p>
        </w:tc>
        <w:tc>
          <w:tcPr>
            <w:tcW w:type="dxa" w:w="1080"/>
          </w:tcPr>
          <w:p>
            <w:r>
              <w:t>0.04527942121285163</w:t>
            </w:r>
          </w:p>
        </w:tc>
        <w:tc>
          <w:tcPr>
            <w:tcW w:type="dxa" w:w="1080"/>
          </w:tcPr>
          <w:p>
            <w:r>
              <w:t>0.054840923449040166</w:t>
            </w:r>
          </w:p>
        </w:tc>
        <w:tc>
          <w:tcPr>
            <w:tcW w:type="dxa" w:w="1080"/>
          </w:tcPr>
          <w:p>
            <w:r>
              <w:t>0.009561502236188534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cross_axis_synthe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default-rate spread by axis (widest to narrowest): Risk Tier=48.92%, Utilization Segment=10.51%, Bureau Segment=5.37%, Repayment Segment=2.42%.</w:t>
      </w:r>
    </w:p>
    <w:p>
      <w:r>
        <w:rPr>
          <w:i/>
          <w:color w:val="595959"/>
        </w:rPr>
        <w:t>Synthesis verdict: SYNTHESIS VALIDATED — CAPITAL TRACKS RISK AS EXPECTED</w:t>
      </w:r>
    </w:p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