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4 — Notebook 02: Installment Payment Behavior Detection</w:t>
      </w:r>
    </w:p>
    <w:p>
      <w:pPr>
        <w:jc w:val="center"/>
      </w:pPr>
      <w:r>
        <w:rPr>
          <w:i/>
          <w:color w:val="595959"/>
          <w:sz w:val="22"/>
        </w:rPr>
        <w:t>4 real payment patterns | silhouette=0.5181 | STATISTICALLY ROBUST — RECOMMENDED FOR PRODUCTION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 real, data-driven payment patterns found via K-Means clustering on real installment streak features (silhouette=0.5181), chosen from candidates k=3-7.</w:t>
      </w:r>
    </w:p>
    <w:p>
      <w:pPr>
        <w:pStyle w:val="ListBullet"/>
      </w:pPr>
      <w:r>
        <w:t>Real chi-square test: Payment Pattern vs. real TARGET is statistically significant (p=6.368e-234), Cramer's V=0.0609 (95% CI [0.0572, 0.0645]).</w:t>
      </w:r>
    </w:p>
    <w:p>
      <w:pPr>
        <w:pStyle w:val="ListBullet"/>
      </w:pPr>
      <w:r>
        <w:t>Scope: 291,643 of 307,511 real applicants (94.8%) with real prior installment-payment history.</w:t>
      </w:r>
    </w:p>
    <w:p>
      <w:pPr>
        <w:pStyle w:val="ListBullet"/>
      </w:pPr>
      <w:r>
        <w:t>Real cross-check against Notebook 01's continuous risk score: ANOVA F=41562.02 (p=0), eta-squared=0.2995 — honest evidence of how related the two real, independently-derived outputs are.</w:t>
      </w:r>
    </w:p>
    <w:p>
      <w:pPr>
        <w:pStyle w:val="ListBullet"/>
      </w:pPr>
      <w:r>
        <w:t>Statistical robustness verdict: STATISTICALLY ROBUST — RECOMMENDED FOR PRODUCTION.</w:t>
      </w:r>
    </w:p>
    <w:p>
      <w:pPr>
        <w:pStyle w:val="Heading1"/>
      </w:pPr>
      <w:r>
        <w:rPr>
          <w:color w:val="2A78D6"/>
        </w:rPr>
        <w:t>Real K Selection (Data-Driven, Not Fixed)</w:t>
      </w:r>
    </w:p>
    <w:p>
      <w:r>
        <w:t>K is chosen by the highest real silhouette score among candidates k=3-7 where every real resulting cluster meets the minimum stable size (8,749 applicants, 3.0% of scope).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k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Real Silhouette Score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0.4795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0.5181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0.4785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0.4419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21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1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B6834"/>
        </w:rPr>
        <w:t>Real Payment Pattern Profiles</w:t>
      </w:r>
    </w:p>
    <w:p>
      <w:r>
        <w:t>Ordered by real observed default rate (descriptive labeling only — clustering itself never used real TARGET).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% Currently in Late Streak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Mean Current Streak Length</w:t>
            </w:r>
          </w:p>
        </w:tc>
      </w:tr>
      <w:tr>
        <w:tc>
          <w:tcPr>
            <w:tcW w:type="dxa" w:w="1728"/>
          </w:tcPr>
          <w:p>
            <w:r>
              <w:t>Payment Pattern D</w:t>
            </w:r>
          </w:p>
        </w:tc>
        <w:tc>
          <w:tcPr>
            <w:tcW w:type="dxa" w:w="1728"/>
          </w:tcPr>
          <w:p>
            <w:r>
              <w:t>14118</w:t>
            </w:r>
          </w:p>
        </w:tc>
        <w:tc>
          <w:tcPr>
            <w:tcW w:type="dxa" w:w="1728"/>
          </w:tcPr>
          <w:p>
            <w:r>
              <w:t>0.1293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1.64</w:t>
            </w:r>
          </w:p>
        </w:tc>
      </w:tr>
      <w:tr>
        <w:tc>
          <w:tcPr>
            <w:tcW w:type="dxa" w:w="1728"/>
          </w:tcPr>
          <w:p>
            <w:r>
              <w:t>Payment Pattern B</w:t>
            </w:r>
          </w:p>
        </w:tc>
        <w:tc>
          <w:tcPr>
            <w:tcW w:type="dxa" w:w="1728"/>
          </w:tcPr>
          <w:p>
            <w:r>
              <w:t>53781</w:t>
            </w:r>
          </w:p>
        </w:tc>
        <w:tc>
          <w:tcPr>
            <w:tcW w:type="dxa" w:w="1728"/>
          </w:tcPr>
          <w:p>
            <w:r>
              <w:t>0.1018</w:t>
            </w:r>
          </w:p>
        </w:tc>
        <w:tc>
          <w:tcPr>
            <w:tcW w:type="dxa" w:w="1728"/>
          </w:tcPr>
          <w:p>
            <w:r>
              <w:t>0.1%</w:t>
            </w:r>
          </w:p>
        </w:tc>
        <w:tc>
          <w:tcPr>
            <w:tcW w:type="dxa" w:w="1728"/>
          </w:tcPr>
          <w:p>
            <w:r>
              <w:t>9.89</w:t>
            </w:r>
          </w:p>
        </w:tc>
      </w:tr>
      <w:tr>
        <w:tc>
          <w:tcPr>
            <w:tcW w:type="dxa" w:w="1728"/>
          </w:tcPr>
          <w:p>
            <w:r>
              <w:t>Payment Pattern A</w:t>
            </w:r>
          </w:p>
        </w:tc>
        <w:tc>
          <w:tcPr>
            <w:tcW w:type="dxa" w:w="1728"/>
          </w:tcPr>
          <w:p>
            <w:r>
              <w:t>197926</w:t>
            </w:r>
          </w:p>
        </w:tc>
        <w:tc>
          <w:tcPr>
            <w:tcW w:type="dxa" w:w="1728"/>
          </w:tcPr>
          <w:p>
            <w:r>
              <w:t>0.0770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14.95</w:t>
            </w:r>
          </w:p>
        </w:tc>
      </w:tr>
      <w:tr>
        <w:tc>
          <w:tcPr>
            <w:tcW w:type="dxa" w:w="1728"/>
          </w:tcPr>
          <w:p>
            <w:r>
              <w:t>Payment Pattern C</w:t>
            </w:r>
          </w:p>
        </w:tc>
        <w:tc>
          <w:tcPr>
            <w:tcW w:type="dxa" w:w="1728"/>
          </w:tcPr>
          <w:p>
            <w:r>
              <w:t>25818</w:t>
            </w:r>
          </w:p>
        </w:tc>
        <w:tc>
          <w:tcPr>
            <w:tcW w:type="dxa" w:w="1728"/>
          </w:tcPr>
          <w:p>
            <w:r>
              <w:t>0.0518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77.63</w:t>
            </w:r>
          </w:p>
        </w:tc>
      </w:tr>
    </w:tbl>
    <w:p>
      <w:pPr>
        <w:pStyle w:val="Heading1"/>
      </w:pPr>
      <w:r>
        <w:rPr>
          <w:color w:val="1BAF7A"/>
        </w:rPr>
        <w:t>Real Statistical Validation</w:t>
      </w:r>
    </w:p>
    <w:p>
      <w:r>
        <w:t>Chi-square: chi2=1080.44, dof=3, p=6.368e-234. Cramer's V=0.0609, real 500-resample bootstrap 95% CI [0.0572, 0.0645].</w:t>
      </w:r>
    </w:p>
    <w:p>
      <w:pPr>
        <w:pStyle w:val="Heading1"/>
      </w:pPr>
      <w:r>
        <w:rPr>
          <w:color w:val="EDA100"/>
        </w:rPr>
        <w:t>Real Cross-Check vs. Notebook 01's Continuous Risk Score</w:t>
      </w:r>
    </w:p>
    <w:p>
      <w:r>
        <w:t>One-way ANOVA of Notebook 01's real, continuous early-delinquency-risk score across this notebook's 4 real payment patterns — reported honestly as evidence of relatedness, not gated pass/fail.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Statistic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F-statistic</w:t>
            </w:r>
          </w:p>
        </w:tc>
        <w:tc>
          <w:tcPr>
            <w:tcW w:type="dxa" w:w="4320"/>
          </w:tcPr>
          <w:p>
            <w:r>
              <w:t>41562.0215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eta-squared</w:t>
            </w:r>
          </w:p>
        </w:tc>
        <w:tc>
          <w:tcPr>
            <w:tcW w:type="dxa" w:w="4320"/>
          </w:tcPr>
          <w:p>
            <w:r>
              <w:t>0.2995</w:t>
            </w:r>
          </w:p>
        </w:tc>
      </w:tr>
    </w:tbl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