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5 -- Problem 1: Portfolio Cashflow Timing &amp; Reliability</w:t>
      </w:r>
    </w:p>
    <w:p>
      <w:pPr>
        <w:jc w:val="center"/>
      </w:pPr>
      <w:r>
        <w:rPr>
          <w:i/>
          <w:color w:val="595959"/>
          <w:sz w:val="22"/>
        </w:rPr>
        <w:t>Home Credit RiskIQ Enterprise Suite -- Liquidity &amp; Cashflow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Real portfolio-wide dollar collection rate: 101.08% (above the 90% illustrative benchmark).</w:t>
      </w:r>
    </w:p>
    <w:p>
      <w:pPr>
        <w:pStyle w:val="ListBullet"/>
      </w:pPr>
      <w:r>
        <w:t>Real repayment-capacity-vs-reliability check: monotonic within noise.</w:t>
      </w:r>
    </w:p>
    <w:p>
      <w:pPr>
        <w:pStyle w:val="ListBullet"/>
      </w:pPr>
      <w:r>
        <w:t>All 8 pipeline integrity + statistical checks: 8/8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portfolio dollar-cash reliability is measurable and below/above benchmark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portfolio-wide dollar collection rate is 101.08% across 13,605,401 real scheduled installments.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Benchmark: 90% (illustrative treasury planning threshold, see Assumptions).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live from real installment-level scheduled vs. collected cash -- no forecasting or modeling involved at this stage.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The dollar-weighted view (vs. this suite's existing count-based late-payment rates) is what a treasury/ALM function actually needs for cash planning.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Reflects this run's real snapshot; recompute after each new data refresh.</w:t>
      </w:r>
    </w:p>
    <w:p/>
    <w:p>
      <w:r>
        <w:rPr>
          <w:b/>
          <w:color w:val="EB6834"/>
          <w:sz w:val="25"/>
        </w:rPr>
        <w:t>Real repayment capacity predicts real dollar-cash reliability, quartile by quartile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Real mean dollar collection rate across 4 real repayment-capacity quartiles is monotonic within noise.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Statistically-principled check: Bonferroni-corrected two-proportion z-test AND a documented minimum-practical-difference threshold (src/utils/stats_checks.py).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Reuses this suite's own monotonic_within_noise() utility -- no new statistical machinery built for this check.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Confirms Mega Project 1's underwriting-time repayment capacity signal remains predictive of real post-disbursement cash behavior -- a genuine cross-Mega-Project validation.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Re-verify after each new data refresh; quartile boundaries are real and data-driven, not fixed.</w:t>
      </w:r>
    </w:p>
    <w:p/>
    <w:p>
      <w:pPr>
        <w:pStyle w:val="Heading1"/>
      </w:pPr>
      <w:r>
        <w:rPr>
          <w:color w:val="2A78D6"/>
        </w:rPr>
        <w:t>Portfolio Cashflow Reconciliation</w:t>
      </w:r>
    </w:p>
    <w:p>
      <w:r>
        <w:t>Real total scheduled cash across 98 calendar periods: $231,984,426,998.65 ($231.98B). Real total collected: $234,482,862,799.62 ($234.48B) (101.08% of scheduled).</w:t>
      </w:r>
    </w:p>
    <w:p>
      <w:r>
        <w:t>Cross-checked against an independent per-applicant aggregation of the same real installment data -- both totals reconcile to the cent (Section 6 of the notebook).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Period start (real day)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Scheduled ($)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Collected ($)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Collection rate</w:t>
            </w:r>
          </w:p>
        </w:tc>
      </w:tr>
      <w:tr>
        <w:tc>
          <w:tcPr>
            <w:tcW w:type="dxa" w:w="2160"/>
          </w:tcPr>
          <w:p>
            <w:r>
              <w:t>-720</w:t>
            </w:r>
          </w:p>
        </w:tc>
        <w:tc>
          <w:tcPr>
            <w:tcW w:type="dxa" w:w="2160"/>
          </w:tcPr>
          <w:p>
            <w:r>
              <w:t>4,555,682,249.13</w:t>
            </w:r>
          </w:p>
        </w:tc>
        <w:tc>
          <w:tcPr>
            <w:tcW w:type="dxa" w:w="2160"/>
          </w:tcPr>
          <w:p>
            <w:r>
              <w:t>4,669,980,677.86</w:t>
            </w:r>
          </w:p>
        </w:tc>
        <w:tc>
          <w:tcPr>
            <w:tcW w:type="dxa" w:w="2160"/>
          </w:tcPr>
          <w:p>
            <w:r>
              <w:t>102.51%</w:t>
            </w:r>
          </w:p>
        </w:tc>
      </w:tr>
      <w:tr>
        <w:tc>
          <w:tcPr>
            <w:tcW w:type="dxa" w:w="2160"/>
          </w:tcPr>
          <w:p>
            <w:r>
              <w:t>-690</w:t>
            </w:r>
          </w:p>
        </w:tc>
        <w:tc>
          <w:tcPr>
            <w:tcW w:type="dxa" w:w="2160"/>
          </w:tcPr>
          <w:p>
            <w:r>
              <w:t>4,744,093,554.36</w:t>
            </w:r>
          </w:p>
        </w:tc>
        <w:tc>
          <w:tcPr>
            <w:tcW w:type="dxa" w:w="2160"/>
          </w:tcPr>
          <w:p>
            <w:r>
              <w:t>4,860,098,208.77</w:t>
            </w:r>
          </w:p>
        </w:tc>
        <w:tc>
          <w:tcPr>
            <w:tcW w:type="dxa" w:w="2160"/>
          </w:tcPr>
          <w:p>
            <w:r>
              <w:t>102.45%</w:t>
            </w:r>
          </w:p>
        </w:tc>
      </w:tr>
      <w:tr>
        <w:tc>
          <w:tcPr>
            <w:tcW w:type="dxa" w:w="2160"/>
          </w:tcPr>
          <w:p>
            <w:r>
              <w:t>-660</w:t>
            </w:r>
          </w:p>
        </w:tc>
        <w:tc>
          <w:tcPr>
            <w:tcW w:type="dxa" w:w="2160"/>
          </w:tcPr>
          <w:p>
            <w:r>
              <w:t>5,047,055,319.42</w:t>
            </w:r>
          </w:p>
        </w:tc>
        <w:tc>
          <w:tcPr>
            <w:tcW w:type="dxa" w:w="2160"/>
          </w:tcPr>
          <w:p>
            <w:r>
              <w:t>5,171,074,440.21</w:t>
            </w:r>
          </w:p>
        </w:tc>
        <w:tc>
          <w:tcPr>
            <w:tcW w:type="dxa" w:w="2160"/>
          </w:tcPr>
          <w:p>
            <w:r>
              <w:t>102.46%</w:t>
            </w:r>
          </w:p>
        </w:tc>
      </w:tr>
      <w:tr>
        <w:tc>
          <w:tcPr>
            <w:tcW w:type="dxa" w:w="2160"/>
          </w:tcPr>
          <w:p>
            <w:r>
              <w:t>-630</w:t>
            </w:r>
          </w:p>
        </w:tc>
        <w:tc>
          <w:tcPr>
            <w:tcW w:type="dxa" w:w="2160"/>
          </w:tcPr>
          <w:p>
            <w:r>
              <w:t>5,242,284,718.47</w:t>
            </w:r>
          </w:p>
        </w:tc>
        <w:tc>
          <w:tcPr>
            <w:tcW w:type="dxa" w:w="2160"/>
          </w:tcPr>
          <w:p>
            <w:r>
              <w:t>5,392,921,918.64</w:t>
            </w:r>
          </w:p>
        </w:tc>
        <w:tc>
          <w:tcPr>
            <w:tcW w:type="dxa" w:w="2160"/>
          </w:tcPr>
          <w:p>
            <w:r>
              <w:t>102.87%</w:t>
            </w:r>
          </w:p>
        </w:tc>
      </w:tr>
      <w:tr>
        <w:tc>
          <w:tcPr>
            <w:tcW w:type="dxa" w:w="2160"/>
          </w:tcPr>
          <w:p>
            <w:r>
              <w:t>-600</w:t>
            </w:r>
          </w:p>
        </w:tc>
        <w:tc>
          <w:tcPr>
            <w:tcW w:type="dxa" w:w="2160"/>
          </w:tcPr>
          <w:p>
            <w:r>
              <w:t>5,409,186,712.52</w:t>
            </w:r>
          </w:p>
        </w:tc>
        <w:tc>
          <w:tcPr>
            <w:tcW w:type="dxa" w:w="2160"/>
          </w:tcPr>
          <w:p>
            <w:r>
              <w:t>5,574,318,538.90</w:t>
            </w:r>
          </w:p>
        </w:tc>
        <w:tc>
          <w:tcPr>
            <w:tcW w:type="dxa" w:w="2160"/>
          </w:tcPr>
          <w:p>
            <w:r>
              <w:t>103.05%</w:t>
            </w:r>
          </w:p>
        </w:tc>
      </w:tr>
      <w:tr>
        <w:tc>
          <w:tcPr>
            <w:tcW w:type="dxa" w:w="2160"/>
          </w:tcPr>
          <w:p>
            <w:r>
              <w:t>-570</w:t>
            </w:r>
          </w:p>
        </w:tc>
        <w:tc>
          <w:tcPr>
            <w:tcW w:type="dxa" w:w="2160"/>
          </w:tcPr>
          <w:p>
            <w:r>
              <w:t>5,658,841,507.01</w:t>
            </w:r>
          </w:p>
        </w:tc>
        <w:tc>
          <w:tcPr>
            <w:tcW w:type="dxa" w:w="2160"/>
          </w:tcPr>
          <w:p>
            <w:r>
              <w:t>5,855,165,473.14</w:t>
            </w:r>
          </w:p>
        </w:tc>
        <w:tc>
          <w:tcPr>
            <w:tcW w:type="dxa" w:w="2160"/>
          </w:tcPr>
          <w:p>
            <w:r>
              <w:t>103.47%</w:t>
            </w:r>
          </w:p>
        </w:tc>
      </w:tr>
      <w:tr>
        <w:tc>
          <w:tcPr>
            <w:tcW w:type="dxa" w:w="2160"/>
          </w:tcPr>
          <w:p>
            <w:r>
              <w:t>-540</w:t>
            </w:r>
          </w:p>
        </w:tc>
        <w:tc>
          <w:tcPr>
            <w:tcW w:type="dxa" w:w="2160"/>
          </w:tcPr>
          <w:p>
            <w:r>
              <w:t>5,865,517,778.90</w:t>
            </w:r>
          </w:p>
        </w:tc>
        <w:tc>
          <w:tcPr>
            <w:tcW w:type="dxa" w:w="2160"/>
          </w:tcPr>
          <w:p>
            <w:r>
              <w:t>6,074,764,555.23</w:t>
            </w:r>
          </w:p>
        </w:tc>
        <w:tc>
          <w:tcPr>
            <w:tcW w:type="dxa" w:w="2160"/>
          </w:tcPr>
          <w:p>
            <w:r>
              <w:t>103.57%</w:t>
            </w:r>
          </w:p>
        </w:tc>
      </w:tr>
      <w:tr>
        <w:tc>
          <w:tcPr>
            <w:tcW w:type="dxa" w:w="2160"/>
          </w:tcPr>
          <w:p>
            <w:r>
              <w:t>-510</w:t>
            </w:r>
          </w:p>
        </w:tc>
        <w:tc>
          <w:tcPr>
            <w:tcW w:type="dxa" w:w="2160"/>
          </w:tcPr>
          <w:p>
            <w:r>
              <w:t>6,102,826,237.98</w:t>
            </w:r>
          </w:p>
        </w:tc>
        <w:tc>
          <w:tcPr>
            <w:tcW w:type="dxa" w:w="2160"/>
          </w:tcPr>
          <w:p>
            <w:r>
              <w:t>6,315,376,477.50</w:t>
            </w:r>
          </w:p>
        </w:tc>
        <w:tc>
          <w:tcPr>
            <w:tcW w:type="dxa" w:w="2160"/>
          </w:tcPr>
          <w:p>
            <w:r>
              <w:t>103.48%</w:t>
            </w:r>
          </w:p>
        </w:tc>
      </w:tr>
      <w:tr>
        <w:tc>
          <w:tcPr>
            <w:tcW w:type="dxa" w:w="2160"/>
          </w:tcPr>
          <w:p>
            <w:r>
              <w:t>-480</w:t>
            </w:r>
          </w:p>
        </w:tc>
        <w:tc>
          <w:tcPr>
            <w:tcW w:type="dxa" w:w="2160"/>
          </w:tcPr>
          <w:p>
            <w:r>
              <w:t>6,270,306,951.47</w:t>
            </w:r>
          </w:p>
        </w:tc>
        <w:tc>
          <w:tcPr>
            <w:tcW w:type="dxa" w:w="2160"/>
          </w:tcPr>
          <w:p>
            <w:r>
              <w:t>6,496,667,637.21</w:t>
            </w:r>
          </w:p>
        </w:tc>
        <w:tc>
          <w:tcPr>
            <w:tcW w:type="dxa" w:w="2160"/>
          </w:tcPr>
          <w:p>
            <w:r>
              <w:t>103.61%</w:t>
            </w:r>
          </w:p>
        </w:tc>
      </w:tr>
      <w:tr>
        <w:tc>
          <w:tcPr>
            <w:tcW w:type="dxa" w:w="2160"/>
          </w:tcPr>
          <w:p>
            <w:r>
              <w:t>-450</w:t>
            </w:r>
          </w:p>
        </w:tc>
        <w:tc>
          <w:tcPr>
            <w:tcW w:type="dxa" w:w="2160"/>
          </w:tcPr>
          <w:p>
            <w:r>
              <w:t>6,441,088,725.00</w:t>
            </w:r>
          </w:p>
        </w:tc>
        <w:tc>
          <w:tcPr>
            <w:tcW w:type="dxa" w:w="2160"/>
          </w:tcPr>
          <w:p>
            <w:r>
              <w:t>6,678,858,113.23</w:t>
            </w:r>
          </w:p>
        </w:tc>
        <w:tc>
          <w:tcPr>
            <w:tcW w:type="dxa" w:w="2160"/>
          </w:tcPr>
          <w:p>
            <w:r>
              <w:t>103.69%</w:t>
            </w:r>
          </w:p>
        </w:tc>
      </w:tr>
      <w:tr>
        <w:tc>
          <w:tcPr>
            <w:tcW w:type="dxa" w:w="2160"/>
          </w:tcPr>
          <w:p>
            <w:r>
              <w:t>-420</w:t>
            </w:r>
          </w:p>
        </w:tc>
        <w:tc>
          <w:tcPr>
            <w:tcW w:type="dxa" w:w="2160"/>
          </w:tcPr>
          <w:p>
            <w:r>
              <w:t>6,604,120,996.56</w:t>
            </w:r>
          </w:p>
        </w:tc>
        <w:tc>
          <w:tcPr>
            <w:tcW w:type="dxa" w:w="2160"/>
          </w:tcPr>
          <w:p>
            <w:r>
              <w:t>6,860,053,089.27</w:t>
            </w:r>
          </w:p>
        </w:tc>
        <w:tc>
          <w:tcPr>
            <w:tcW w:type="dxa" w:w="2160"/>
          </w:tcPr>
          <w:p>
            <w:r>
              <w:t>103.88%</w:t>
            </w:r>
          </w:p>
        </w:tc>
      </w:tr>
      <w:tr>
        <w:tc>
          <w:tcPr>
            <w:tcW w:type="dxa" w:w="2160"/>
          </w:tcPr>
          <w:p>
            <w:r>
              <w:t>-390</w:t>
            </w:r>
          </w:p>
        </w:tc>
        <w:tc>
          <w:tcPr>
            <w:tcW w:type="dxa" w:w="2160"/>
          </w:tcPr>
          <w:p>
            <w:r>
              <w:t>6,811,357,736.20</w:t>
            </w:r>
          </w:p>
        </w:tc>
        <w:tc>
          <w:tcPr>
            <w:tcW w:type="dxa" w:w="2160"/>
          </w:tcPr>
          <w:p>
            <w:r>
              <w:t>7,084,505,552.85</w:t>
            </w:r>
          </w:p>
        </w:tc>
        <w:tc>
          <w:tcPr>
            <w:tcW w:type="dxa" w:w="2160"/>
          </w:tcPr>
          <w:p>
            <w:r>
              <w:t>104.01%</w:t>
            </w:r>
          </w:p>
        </w:tc>
      </w:tr>
      <w:tr>
        <w:tc>
          <w:tcPr>
            <w:tcW w:type="dxa" w:w="2160"/>
          </w:tcPr>
          <w:p>
            <w:r>
              <w:t>-360</w:t>
            </w:r>
          </w:p>
        </w:tc>
        <w:tc>
          <w:tcPr>
            <w:tcW w:type="dxa" w:w="2160"/>
          </w:tcPr>
          <w:p>
            <w:r>
              <w:t>6,913,682,745.35</w:t>
            </w:r>
          </w:p>
        </w:tc>
        <w:tc>
          <w:tcPr>
            <w:tcW w:type="dxa" w:w="2160"/>
          </w:tcPr>
          <w:p>
            <w:r>
              <w:t>7,213,016,047.73</w:t>
            </w:r>
          </w:p>
        </w:tc>
        <w:tc>
          <w:tcPr>
            <w:tcW w:type="dxa" w:w="2160"/>
          </w:tcPr>
          <w:p>
            <w:r>
              <w:t>104.33%</w:t>
            </w:r>
          </w:p>
        </w:tc>
      </w:tr>
      <w:tr>
        <w:tc>
          <w:tcPr>
            <w:tcW w:type="dxa" w:w="2160"/>
          </w:tcPr>
          <w:p>
            <w:r>
              <w:t>-330</w:t>
            </w:r>
          </w:p>
        </w:tc>
        <w:tc>
          <w:tcPr>
            <w:tcW w:type="dxa" w:w="2160"/>
          </w:tcPr>
          <w:p>
            <w:r>
              <w:t>7,059,710,853.40</w:t>
            </w:r>
          </w:p>
        </w:tc>
        <w:tc>
          <w:tcPr>
            <w:tcW w:type="dxa" w:w="2160"/>
          </w:tcPr>
          <w:p>
            <w:r>
              <w:t>7,372,797,880.68</w:t>
            </w:r>
          </w:p>
        </w:tc>
        <w:tc>
          <w:tcPr>
            <w:tcW w:type="dxa" w:w="2160"/>
          </w:tcPr>
          <w:p>
            <w:r>
              <w:t>104.43%</w:t>
            </w:r>
          </w:p>
        </w:tc>
      </w:tr>
      <w:tr>
        <w:tc>
          <w:tcPr>
            <w:tcW w:type="dxa" w:w="2160"/>
          </w:tcPr>
          <w:p>
            <w:r>
              <w:t>-300</w:t>
            </w:r>
          </w:p>
        </w:tc>
        <w:tc>
          <w:tcPr>
            <w:tcW w:type="dxa" w:w="2160"/>
          </w:tcPr>
          <w:p>
            <w:r>
              <w:t>7,131,460,538.20</w:t>
            </w:r>
          </w:p>
        </w:tc>
        <w:tc>
          <w:tcPr>
            <w:tcW w:type="dxa" w:w="2160"/>
          </w:tcPr>
          <w:p>
            <w:r>
              <w:t>7,448,419,282.01</w:t>
            </w:r>
          </w:p>
        </w:tc>
        <w:tc>
          <w:tcPr>
            <w:tcW w:type="dxa" w:w="2160"/>
          </w:tcPr>
          <w:p>
            <w:r>
              <w:t>104.44%</w:t>
            </w:r>
          </w:p>
        </w:tc>
      </w:tr>
      <w:tr>
        <w:tc>
          <w:tcPr>
            <w:tcW w:type="dxa" w:w="2160"/>
          </w:tcPr>
          <w:p>
            <w:r>
              <w:t>-270</w:t>
            </w:r>
          </w:p>
        </w:tc>
        <w:tc>
          <w:tcPr>
            <w:tcW w:type="dxa" w:w="2160"/>
          </w:tcPr>
          <w:p>
            <w:r>
              <w:t>7,103,997,720.94</w:t>
            </w:r>
          </w:p>
        </w:tc>
        <w:tc>
          <w:tcPr>
            <w:tcW w:type="dxa" w:w="2160"/>
          </w:tcPr>
          <w:p>
            <w:r>
              <w:t>7,420,915,246.01</w:t>
            </w:r>
          </w:p>
        </w:tc>
        <w:tc>
          <w:tcPr>
            <w:tcW w:type="dxa" w:w="2160"/>
          </w:tcPr>
          <w:p>
            <w:r>
              <w:t>104.46%</w:t>
            </w:r>
          </w:p>
        </w:tc>
      </w:tr>
      <w:tr>
        <w:tc>
          <w:tcPr>
            <w:tcW w:type="dxa" w:w="2160"/>
          </w:tcPr>
          <w:p>
            <w:r>
              <w:t>-240</w:t>
            </w:r>
          </w:p>
        </w:tc>
        <w:tc>
          <w:tcPr>
            <w:tcW w:type="dxa" w:w="2160"/>
          </w:tcPr>
          <w:p>
            <w:r>
              <w:t>7,217,098,709.49</w:t>
            </w:r>
          </w:p>
        </w:tc>
        <w:tc>
          <w:tcPr>
            <w:tcW w:type="dxa" w:w="2160"/>
          </w:tcPr>
          <w:p>
            <w:r>
              <w:t>7,583,845,103.77</w:t>
            </w:r>
          </w:p>
        </w:tc>
        <w:tc>
          <w:tcPr>
            <w:tcW w:type="dxa" w:w="2160"/>
          </w:tcPr>
          <w:p>
            <w:r>
              <w:t>105.08%</w:t>
            </w:r>
          </w:p>
        </w:tc>
      </w:tr>
      <w:tr>
        <w:tc>
          <w:tcPr>
            <w:tcW w:type="dxa" w:w="2160"/>
          </w:tcPr>
          <w:p>
            <w:r>
              <w:t>-210</w:t>
            </w:r>
          </w:p>
        </w:tc>
        <w:tc>
          <w:tcPr>
            <w:tcW w:type="dxa" w:w="2160"/>
          </w:tcPr>
          <w:p>
            <w:r>
              <w:t>7,129,332,600.35</w:t>
            </w:r>
          </w:p>
        </w:tc>
        <w:tc>
          <w:tcPr>
            <w:tcW w:type="dxa" w:w="2160"/>
          </w:tcPr>
          <w:p>
            <w:r>
              <w:t>7,501,582,763.32</w:t>
            </w:r>
          </w:p>
        </w:tc>
        <w:tc>
          <w:tcPr>
            <w:tcW w:type="dxa" w:w="2160"/>
          </w:tcPr>
          <w:p>
            <w:r>
              <w:t>105.22%</w:t>
            </w:r>
          </w:p>
        </w:tc>
      </w:tr>
      <w:tr>
        <w:tc>
          <w:tcPr>
            <w:tcW w:type="dxa" w:w="2160"/>
          </w:tcPr>
          <w:p>
            <w:r>
              <w:t>-180</w:t>
            </w:r>
          </w:p>
        </w:tc>
        <w:tc>
          <w:tcPr>
            <w:tcW w:type="dxa" w:w="2160"/>
          </w:tcPr>
          <w:p>
            <w:r>
              <w:t>6,942,222,133.47</w:t>
            </w:r>
          </w:p>
        </w:tc>
        <w:tc>
          <w:tcPr>
            <w:tcW w:type="dxa" w:w="2160"/>
          </w:tcPr>
          <w:p>
            <w:r>
              <w:t>7,310,310,784.29</w:t>
            </w:r>
          </w:p>
        </w:tc>
        <w:tc>
          <w:tcPr>
            <w:tcW w:type="dxa" w:w="2160"/>
          </w:tcPr>
          <w:p>
            <w:r>
              <w:t>105.30%</w:t>
            </w:r>
          </w:p>
        </w:tc>
      </w:tr>
      <w:tr>
        <w:tc>
          <w:tcPr>
            <w:tcW w:type="dxa" w:w="2160"/>
          </w:tcPr>
          <w:p>
            <w:r>
              <w:t>-150</w:t>
            </w:r>
          </w:p>
        </w:tc>
        <w:tc>
          <w:tcPr>
            <w:tcW w:type="dxa" w:w="2160"/>
          </w:tcPr>
          <w:p>
            <w:r>
              <w:t>6,460,932,695.35</w:t>
            </w:r>
          </w:p>
        </w:tc>
        <w:tc>
          <w:tcPr>
            <w:tcW w:type="dxa" w:w="2160"/>
          </w:tcPr>
          <w:p>
            <w:r>
              <w:t>6,747,203,849.85</w:t>
            </w:r>
          </w:p>
        </w:tc>
        <w:tc>
          <w:tcPr>
            <w:tcW w:type="dxa" w:w="2160"/>
          </w:tcPr>
          <w:p>
            <w:r>
              <w:t>104.43%</w:t>
            </w:r>
          </w:p>
        </w:tc>
      </w:tr>
      <w:tr>
        <w:tc>
          <w:tcPr>
            <w:tcW w:type="dxa" w:w="2160"/>
          </w:tcPr>
          <w:p>
            <w:r>
              <w:t>-120</w:t>
            </w:r>
          </w:p>
        </w:tc>
        <w:tc>
          <w:tcPr>
            <w:tcW w:type="dxa" w:w="2160"/>
          </w:tcPr>
          <w:p>
            <w:r>
              <w:t>6,201,571,557.91</w:t>
            </w:r>
          </w:p>
        </w:tc>
        <w:tc>
          <w:tcPr>
            <w:tcW w:type="dxa" w:w="2160"/>
          </w:tcPr>
          <w:p>
            <w:r>
              <w:t>6,463,023,083.01</w:t>
            </w:r>
          </w:p>
        </w:tc>
        <w:tc>
          <w:tcPr>
            <w:tcW w:type="dxa" w:w="2160"/>
          </w:tcPr>
          <w:p>
            <w:r>
              <w:t>104.22%</w:t>
            </w:r>
          </w:p>
        </w:tc>
      </w:tr>
      <w:tr>
        <w:tc>
          <w:tcPr>
            <w:tcW w:type="dxa" w:w="2160"/>
          </w:tcPr>
          <w:p>
            <w:r>
              <w:t>-90</w:t>
            </w:r>
          </w:p>
        </w:tc>
        <w:tc>
          <w:tcPr>
            <w:tcW w:type="dxa" w:w="2160"/>
          </w:tcPr>
          <w:p>
            <w:r>
              <w:t>5,834,949,316.29</w:t>
            </w:r>
          </w:p>
        </w:tc>
        <w:tc>
          <w:tcPr>
            <w:tcW w:type="dxa" w:w="2160"/>
          </w:tcPr>
          <w:p>
            <w:r>
              <w:t>6,051,232,609.43</w:t>
            </w:r>
          </w:p>
        </w:tc>
        <w:tc>
          <w:tcPr>
            <w:tcW w:type="dxa" w:w="2160"/>
          </w:tcPr>
          <w:p>
            <w:r>
              <w:t>103.71%</w:t>
            </w:r>
          </w:p>
        </w:tc>
      </w:tr>
      <w:tr>
        <w:tc>
          <w:tcPr>
            <w:tcW w:type="dxa" w:w="2160"/>
          </w:tcPr>
          <w:p>
            <w:r>
              <w:t>-60</w:t>
            </w:r>
          </w:p>
        </w:tc>
        <w:tc>
          <w:tcPr>
            <w:tcW w:type="dxa" w:w="2160"/>
          </w:tcPr>
          <w:p>
            <w:r>
              <w:t>5,341,509,673.83</w:t>
            </w:r>
          </w:p>
        </w:tc>
        <w:tc>
          <w:tcPr>
            <w:tcW w:type="dxa" w:w="2160"/>
          </w:tcPr>
          <w:p>
            <w:r>
              <w:t>5,471,086,890.56</w:t>
            </w:r>
          </w:p>
        </w:tc>
        <w:tc>
          <w:tcPr>
            <w:tcW w:type="dxa" w:w="2160"/>
          </w:tcPr>
          <w:p>
            <w:r>
              <w:t>102.43%</w:t>
            </w:r>
          </w:p>
        </w:tc>
      </w:tr>
      <w:tr>
        <w:tc>
          <w:tcPr>
            <w:tcW w:type="dxa" w:w="2160"/>
          </w:tcPr>
          <w:p>
            <w:r>
              <w:t>-30</w:t>
            </w:r>
          </w:p>
        </w:tc>
        <w:tc>
          <w:tcPr>
            <w:tcW w:type="dxa" w:w="2160"/>
          </w:tcPr>
          <w:p>
            <w:r>
              <w:t>4,138,580,081.47</w:t>
            </w:r>
          </w:p>
        </w:tc>
        <w:tc>
          <w:tcPr>
            <w:tcW w:type="dxa" w:w="2160"/>
          </w:tcPr>
          <w:p>
            <w:r>
              <w:t>4,182,964,232.22</w:t>
            </w:r>
          </w:p>
        </w:tc>
        <w:tc>
          <w:tcPr>
            <w:tcW w:type="dxa" w:w="2160"/>
          </w:tcPr>
          <w:p>
            <w:r>
              <w:t>101.07%</w:t>
            </w:r>
          </w:p>
        </w:tc>
      </w:tr>
    </w:tbl>
    <w:p>
      <w:pPr>
        <w:pStyle w:val="Heading1"/>
      </w:pPr>
      <w:r>
        <w:rPr>
          <w:color w:val="EB6834"/>
        </w:rPr>
        <w:t>Reliability by Real Repayment-Capacity Quartile</w:t>
      </w:r>
    </w:p>
    <w:p>
      <w:r>
        <w:t>Real applicants are split into 4 real, data-driven quartiles of Mega Project 1's REPAYMENT_CAPACITY_RATIO (AMT_INCOME_TOTAL / (AMT_ANNUITY + 1.0)), HYPER-reused directly rather than recomputed.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Capacity quartile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Applicants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Mean capacity ratio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Mean $ collection rate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72904</w:t>
            </w:r>
          </w:p>
        </w:tc>
        <w:tc>
          <w:tcPr>
            <w:tcW w:type="dxa" w:w="2160"/>
          </w:tcPr>
          <w:p>
            <w:r>
              <w:t>13.34</w:t>
            </w:r>
          </w:p>
        </w:tc>
        <w:tc>
          <w:tcPr>
            <w:tcW w:type="dxa" w:w="2160"/>
          </w:tcPr>
          <w:p>
            <w:r>
              <w:t>99.64%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72909</w:t>
            </w:r>
          </w:p>
        </w:tc>
        <w:tc>
          <w:tcPr>
            <w:tcW w:type="dxa" w:w="2160"/>
          </w:tcPr>
          <w:p>
            <w:r>
              <w:t>7.24</w:t>
            </w:r>
          </w:p>
        </w:tc>
        <w:tc>
          <w:tcPr>
            <w:tcW w:type="dxa" w:w="2160"/>
          </w:tcPr>
          <w:p>
            <w:r>
              <w:t>99.19%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72906</w:t>
            </w:r>
          </w:p>
        </w:tc>
        <w:tc>
          <w:tcPr>
            <w:tcW w:type="dxa" w:w="2160"/>
          </w:tcPr>
          <w:p>
            <w:r>
              <w:t>5.21</w:t>
            </w:r>
          </w:p>
        </w:tc>
        <w:tc>
          <w:tcPr>
            <w:tcW w:type="dxa" w:w="2160"/>
          </w:tcPr>
          <w:p>
            <w:r>
              <w:t>98.98%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72909</w:t>
            </w:r>
          </w:p>
        </w:tc>
        <w:tc>
          <w:tcPr>
            <w:tcW w:type="dxa" w:w="2160"/>
          </w:tcPr>
          <w:p>
            <w:r>
              <w:t>3.40</w:t>
            </w:r>
          </w:p>
        </w:tc>
        <w:tc>
          <w:tcPr>
            <w:tcW w:type="dxa" w:w="2160"/>
          </w:tcPr>
          <w:p>
            <w:r>
              <w:t>98.91%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A higher real repayment-capacity quartile shows a higher real dollar collection rate, monotonic within noise -- see the Statistical Robustness Verdict below for the full, auditable z-test detail.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