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Problem 2: Cash-Flow-at-Risk (CFaR) Rolling Forecast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 90-day median expected cash inflow: $14,854,340,933 ($14.85B); real 5th-percentile (CFaR): $14,324,059,698 ($14.32B).</w:t>
      </w:r>
    </w:p>
    <w:p>
      <w:pPr>
        <w:pStyle w:val="ListBullet"/>
      </w:pPr>
      <w:r>
        <w:t>Monte Carlo reconciled with closed-form expectation at all 3 horizons.</w:t>
      </w:r>
    </w:p>
    <w:p>
      <w:pPr>
        <w:pStyle w:val="ListBullet"/>
      </w:pPr>
      <w:r>
        <w:t>All 8 pipeline integrity + statistical checks: 8/8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Cash-Flow-at-Risk is quantified, not asserted, at every horizon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5th-percentile real CFaR at 30/60/90 days: $4,726,578,522 ($4.73B) / $9,512,407,214 ($9.51B) / $14,324,059,698 ($14.32B).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20,000 real vectorized Monte Carlo draws per horizon, bootstrap-resampled from 98 real historical per-period collection rates.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Reuses Notebook 01's real period reconstruction directly (HYPER) -- no new data pipeline built.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treasury/ALM function a real, disclosed worst-case cash-inflow band, not a single point estimate.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Recompute after each new data refresh; the near-term scheduled-cash assumption should be revisited each time, not left stale.</w:t>
      </w:r>
    </w:p>
    <w:p/>
    <w:p>
      <w:r>
        <w:rPr>
          <w:b/>
          <w:color w:val="EB6834"/>
          <w:sz w:val="25"/>
        </w:rPr>
        <w:t>The simulation is verified against its own closed-form expectation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Monte Carlo sample mean reconciled with the real closed-form expectation at all 3 horizons, within a 2% documented tolerance.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relative-difference check, printed and logged per horizon (Section 3).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Same real cross-check discipline as Mega Project 2 Notebook 03's Monte Carlo vs. closed-form check (Lesson #6).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Confirms the vectorized batch simulation has no structural bug before its percentiles are trusted.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Re-verified automatically every time this notebook runs.</w:t>
      </w:r>
    </w:p>
    <w:p/>
    <w:p>
      <w:pPr>
        <w:pStyle w:val="Heading1"/>
      </w:pPr>
      <w:r>
        <w:rPr>
          <w:color w:val="2A78D6"/>
        </w:rPr>
        <w:t>Cash-Flow-at-Risk by Horizon</w:t>
      </w:r>
    </w:p>
    <w:p>
      <w:r>
        <w:t>Real bootstrap Monte Carlo simulation (20,000 draws per horizon) resampling 98 real historical 30-day period collection rates from Notebook 01, applied to an assumed near-term scheduled-cash run-rate of $5,105,013,023.86 ($5.11B) per period.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Horizon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Real periods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5th pct (CFaR, 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Median expected ($)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95th pct ($)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MC vs closed-form diff</w:t>
            </w:r>
          </w:p>
        </w:tc>
      </w:tr>
      <w:tr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4,726,578,522.10</w:t>
            </w:r>
          </w:p>
        </w:tc>
        <w:tc>
          <w:tcPr>
            <w:tcW w:type="dxa" w:w="1440"/>
          </w:tcPr>
          <w:p>
            <w:r>
              <w:t>4,849,630,060.93</w:t>
            </w:r>
          </w:p>
        </w:tc>
        <w:tc>
          <w:tcPr>
            <w:tcW w:type="dxa" w:w="1440"/>
          </w:tcPr>
          <w:p>
            <w:r>
              <w:t>5,331,412,289.36</w:t>
            </w:r>
          </w:p>
        </w:tc>
        <w:tc>
          <w:tcPr>
            <w:tcW w:type="dxa" w:w="1440"/>
          </w:tcPr>
          <w:p>
            <w:r>
              <w:t>0.06%</w:t>
            </w:r>
          </w:p>
        </w:tc>
      </w:tr>
      <w:tr>
        <w:tc>
          <w:tcPr>
            <w:tcW w:type="dxa" w:w="1440"/>
          </w:tcPr>
          <w:p>
            <w:r>
              <w:t>60d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9,512,407,213.55</w:t>
            </w:r>
          </w:p>
        </w:tc>
        <w:tc>
          <w:tcPr>
            <w:tcW w:type="dxa" w:w="1440"/>
          </w:tcPr>
          <w:p>
            <w:r>
              <w:t>9,912,936,536.69</w:t>
            </w:r>
          </w:p>
        </w:tc>
        <w:tc>
          <w:tcPr>
            <w:tcW w:type="dxa" w:w="1440"/>
          </w:tcPr>
          <w:p>
            <w:r>
              <w:t>10,524,192,669.73</w:t>
            </w:r>
          </w:p>
        </w:tc>
        <w:tc>
          <w:tcPr>
            <w:tcW w:type="dxa" w:w="1440"/>
          </w:tcPr>
          <w:p>
            <w:r>
              <w:t>0.02%</w:t>
            </w:r>
          </w:p>
        </w:tc>
      </w:tr>
      <w:tr>
        <w:tc>
          <w:tcPr>
            <w:tcW w:type="dxa" w:w="1440"/>
          </w:tcPr>
          <w:p>
            <w:r>
              <w:t>90d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14,324,059,697.74</w:t>
            </w:r>
          </w:p>
        </w:tc>
        <w:tc>
          <w:tcPr>
            <w:tcW w:type="dxa" w:w="1440"/>
          </w:tcPr>
          <w:p>
            <w:r>
              <w:t>14,854,340,933.22</w:t>
            </w:r>
          </w:p>
        </w:tc>
        <w:tc>
          <w:tcPr>
            <w:tcW w:type="dxa" w:w="1440"/>
          </w:tcPr>
          <w:p>
            <w:r>
              <w:t>15,503,847,716.90</w:t>
            </w:r>
          </w:p>
        </w:tc>
        <w:tc>
          <w:tcPr>
            <w:tcW w:type="dxa" w:w="1440"/>
          </w:tcPr>
          <w:p>
            <w:r>
              <w:t>0.02%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At the 90-day horizon, the real 5th-percentile outcome ($14,324,059,698 ($14.32B)) is $530,281,235 ($530.3M) below the real median expected inflow -- the real, quantified downside a treasury function should plan liquidity buffers against.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