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3864"/>
        </w:rPr>
        <w:t>Mega Project 5 -- Problem 3: Retail Liquidity Coverage Proxy (LCR-Adapted)</w:t>
      </w:r>
    </w:p>
    <w:p>
      <w:pPr>
        <w:jc w:val="center"/>
      </w:pPr>
      <w:r>
        <w:rPr>
          <w:i/>
          <w:color w:val="595959"/>
          <w:sz w:val="22"/>
        </w:rPr>
        <w:t>Home Credit RiskIQ Enterprise Suite -- Liquidity &amp; Cashflow</w:t>
      </w:r>
    </w:p>
    <w:p/>
    <w:p>
      <w:pPr>
        <w:pStyle w:val="Heading1"/>
      </w:pPr>
      <w:r>
        <w:t>Executive Summary</w:t>
      </w:r>
    </w:p>
    <w:p>
      <w:pPr>
        <w:pStyle w:val="ListBullet"/>
      </w:pPr>
      <w:r>
        <w:t>90-day Retail Liquidity Coverage Proxy: 1.10 (PASS).</w:t>
      </w:r>
    </w:p>
    <w:p>
      <w:pPr>
        <w:pStyle w:val="ListBullet"/>
      </w:pPr>
      <w:r>
        <w:t>Real cross-check: RLCP spread across 3 horizons = 0.0111 (stable).</w:t>
      </w:r>
    </w:p>
    <w:p>
      <w:pPr>
        <w:pStyle w:val="ListBullet"/>
      </w:pPr>
      <w:r>
        <w:t>All 9 pipeline integrity + statistical checks: 9/9 PASS.</w:t>
      </w:r>
    </w:p>
    <w:p>
      <w:pPr>
        <w:pStyle w:val="Heading1"/>
      </w:pPr>
      <w:r>
        <w:t>Key Insights &amp; SMART Recommendations</w:t>
      </w:r>
    </w:p>
    <w:p>
      <w:r>
        <w:rPr>
          <w:b/>
          <w:color w:val="2A78D6"/>
          <w:sz w:val="25"/>
        </w:rPr>
        <w:t>Real retail liquidity coverage is quantified against a disclosed, Basel-style pass threshold</w:t>
      </w:r>
    </w:p>
    <w:p>
      <w:pPr>
        <w:pStyle w:val="ListBullet"/>
      </w:pPr>
      <w:r>
        <w:rPr>
          <w:b/>
          <w:color w:val="2A78D6"/>
        </w:rPr>
        <w:t xml:space="preserve">Specific: </w:t>
      </w:r>
      <w:r>
        <w:t>30-day RLCP = 1.09 (PASS); 90-day RLCP = 1.10 (PASS).</w:t>
      </w:r>
    </w:p>
    <w:p>
      <w:pPr>
        <w:pStyle w:val="ListBullet"/>
      </w:pPr>
      <w:r>
        <w:rPr>
          <w:b/>
          <w:color w:val="2A78D6"/>
        </w:rPr>
        <w:t xml:space="preserve">Measurable: </w:t>
      </w:r>
      <w:r>
        <w:t>RLCP &gt;= 1.00 = PASS, mirroring Basel LCR's own &gt;=100% pass convention (illustrative adaptation, not a claim of the real regulatory ratio).</w:t>
      </w:r>
    </w:p>
    <w:p>
      <w:pPr>
        <w:pStyle w:val="ListBullet"/>
      </w:pPr>
      <w:r>
        <w:rPr>
          <w:b/>
          <w:color w:val="2A78D6"/>
        </w:rPr>
        <w:t xml:space="preserve">Achievable: </w:t>
      </w:r>
      <w:r>
        <w:t>Numerator is 100% real (Notebook 02's own Monte Carlo output, HYPER reused); only the denominator's coverage requirement is a documented assumption.</w:t>
      </w:r>
    </w:p>
    <w:p>
      <w:pPr>
        <w:pStyle w:val="ListBullet"/>
      </w:pPr>
      <w:r>
        <w:rPr>
          <w:b/>
          <w:color w:val="2A78D6"/>
        </w:rPr>
        <w:t xml:space="preserve">Relevant: </w:t>
      </w:r>
      <w:r>
        <w:t>Gives a treasury/ALM function a disclosed, quantified early-warning signal for whether the loan book's own cash generation could need emergency funding under stress.</w:t>
      </w:r>
    </w:p>
    <w:p>
      <w:pPr>
        <w:pStyle w:val="ListBullet"/>
      </w:pPr>
      <w:r>
        <w:rPr>
          <w:b/>
          <w:color w:val="2A78D6"/>
        </w:rPr>
        <w:t xml:space="preserve">Time-bound: </w:t>
      </w:r>
      <w:r>
        <w:t>Recompute after each new data refresh; the coverage-ratio assumption should be reviewed each time, not left stale.</w:t>
      </w:r>
    </w:p>
    <w:p/>
    <w:p>
      <w:pPr>
        <w:pStyle w:val="Heading1"/>
      </w:pPr>
      <w:r>
        <w:rPr>
          <w:color w:val="2A78D6"/>
        </w:rPr>
        <w:t>Retail Liquidity Coverage Proxy by Horizon</w:t>
      </w:r>
    </w:p>
    <w:p>
      <w:r>
        <w:t>Real Cash-Flow-at-Risk (Notebook 02) at each horizon's 5th percentile, compared against a required coverage of 85% of real contractually scheduled cash.</w:t>
      </w:r>
    </w:p>
    <w:p>
      <w:r>
        <w:t>This is a disclosed, illustrative adaptation of Basel's LCR concept -- not a claim of the real regulatory ratio, which requires real balance-sheet HQLA/outflow data this dataset does not contain.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2a78d6"/>
          </w:tcPr>
          <w:p>
            <w:r>
              <w:rPr>
                <w:b/>
                <w:color w:val="FFFFFF"/>
              </w:rPr>
              <w:t>Horizon</w:t>
            </w:r>
          </w:p>
        </w:tc>
        <w:tc>
          <w:tcPr>
            <w:tcW w:type="dxa" w:w="1440"/>
            <w:shd w:fill="2a78d6"/>
          </w:tcPr>
          <w:p>
            <w:r>
              <w:rPr>
                <w:b/>
                <w:color w:val="FFFFFF"/>
              </w:rPr>
              <w:t>Stressed collections, 5th pct ($)</w:t>
            </w:r>
          </w:p>
        </w:tc>
        <w:tc>
          <w:tcPr>
            <w:tcW w:type="dxa" w:w="1440"/>
            <w:shd w:fill="2a78d6"/>
          </w:tcPr>
          <w:p>
            <w:r>
              <w:rPr>
                <w:b/>
                <w:color w:val="FFFFFF"/>
              </w:rPr>
              <w:t>Real scheduled cash ($)</w:t>
            </w:r>
          </w:p>
        </w:tc>
        <w:tc>
          <w:tcPr>
            <w:tcW w:type="dxa" w:w="1440"/>
            <w:shd w:fill="2a78d6"/>
          </w:tcPr>
          <w:p>
            <w:r>
              <w:rPr>
                <w:b/>
                <w:color w:val="FFFFFF"/>
              </w:rPr>
              <w:t>Required coverage ($)</w:t>
            </w:r>
          </w:p>
        </w:tc>
        <w:tc>
          <w:tcPr>
            <w:tcW w:type="dxa" w:w="1440"/>
            <w:shd w:fill="2a78d6"/>
          </w:tcPr>
          <w:p>
            <w:r>
              <w:rPr>
                <w:b/>
                <w:color w:val="FFFFFF"/>
              </w:rPr>
              <w:t>RLCP</w:t>
            </w:r>
          </w:p>
        </w:tc>
        <w:tc>
          <w:tcPr>
            <w:tcW w:type="dxa" w:w="1440"/>
            <w:shd w:fill="2a78d6"/>
          </w:tcPr>
          <w:p>
            <w:r>
              <w:rPr>
                <w:b/>
                <w:color w:val="FFFFFF"/>
              </w:rPr>
              <w:t>Verdict</w:t>
            </w:r>
          </w:p>
        </w:tc>
      </w:tr>
      <w:tr>
        <w:tc>
          <w:tcPr>
            <w:tcW w:type="dxa" w:w="1440"/>
          </w:tcPr>
          <w:p>
            <w:r>
              <w:t>30d</w:t>
            </w:r>
          </w:p>
        </w:tc>
        <w:tc>
          <w:tcPr>
            <w:tcW w:type="dxa" w:w="1440"/>
          </w:tcPr>
          <w:p>
            <w:r>
              <w:t>4,726,578,522.10</w:t>
            </w:r>
          </w:p>
        </w:tc>
        <w:tc>
          <w:tcPr>
            <w:tcW w:type="dxa" w:w="1440"/>
          </w:tcPr>
          <w:p>
            <w:r>
              <w:t>5,105,013,023.86</w:t>
            </w:r>
          </w:p>
        </w:tc>
        <w:tc>
          <w:tcPr>
            <w:tcW w:type="dxa" w:w="1440"/>
          </w:tcPr>
          <w:p>
            <w:r>
              <w:t>4,339,261,070.29</w:t>
            </w:r>
          </w:p>
        </w:tc>
        <w:tc>
          <w:tcPr>
            <w:tcW w:type="dxa" w:w="1440"/>
          </w:tcPr>
          <w:p>
            <w:r>
              <w:t>1.0893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60d</w:t>
            </w:r>
          </w:p>
        </w:tc>
        <w:tc>
          <w:tcPr>
            <w:tcW w:type="dxa" w:w="1440"/>
          </w:tcPr>
          <w:p>
            <w:r>
              <w:t>9,512,407,213.55</w:t>
            </w:r>
          </w:p>
        </w:tc>
        <w:tc>
          <w:tcPr>
            <w:tcW w:type="dxa" w:w="1440"/>
          </w:tcPr>
          <w:p>
            <w:r>
              <w:t>10,210,026,047.73</w:t>
            </w:r>
          </w:p>
        </w:tc>
        <w:tc>
          <w:tcPr>
            <w:tcW w:type="dxa" w:w="1440"/>
          </w:tcPr>
          <w:p>
            <w:r>
              <w:t>8,678,522,140.57</w:t>
            </w:r>
          </w:p>
        </w:tc>
        <w:tc>
          <w:tcPr>
            <w:tcW w:type="dxa" w:w="1440"/>
          </w:tcPr>
          <w:p>
            <w:r>
              <w:t>1.0961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90d</w:t>
            </w:r>
          </w:p>
        </w:tc>
        <w:tc>
          <w:tcPr>
            <w:tcW w:type="dxa" w:w="1440"/>
          </w:tcPr>
          <w:p>
            <w:r>
              <w:t>14,324,059,697.74</w:t>
            </w:r>
          </w:p>
        </w:tc>
        <w:tc>
          <w:tcPr>
            <w:tcW w:type="dxa" w:w="1440"/>
          </w:tcPr>
          <w:p>
            <w:r>
              <w:t>15,315,039,071.59</w:t>
            </w:r>
          </w:p>
        </w:tc>
        <w:tc>
          <w:tcPr>
            <w:tcW w:type="dxa" w:w="1440"/>
          </w:tcPr>
          <w:p>
            <w:r>
              <w:t>13,017,783,210.86</w:t>
            </w:r>
          </w:p>
        </w:tc>
        <w:tc>
          <w:tcPr>
            <w:tcW w:type="dxa" w:w="1440"/>
          </w:tcPr>
          <w:p>
            <w:r>
              <w:t>1.1003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</w:tbl>
    <w:p>
      <w:r>
        <w:rPr>
          <w:b/>
          <w:color w:val="2A78D6"/>
        </w:rPr>
        <w:t xml:space="preserve">Insight — </w:t>
      </w:r>
      <w:r>
        <w:rPr>
          <w:i/>
          <w:color w:val="595959"/>
        </w:rPr>
        <w:t>Every horizon PASSES the illustrative 1.00 threshold on this run's real underlying data.</w:t>
      </w:r>
    </w:p>
    <w:p>
      <w:pPr>
        <w:spacing w:before="240" w:after="240"/>
        <w:rPr>
          <w:i/>
          <w:sz w:val="18"/>
          <w:color w:val="595959"/>
        </w:rPr>
      </w:pPr>
      <w:r>
        <w:rPr>
          <w:i/>
          <w:sz w:val="18"/>
          <w:color w:val="595959"/>
        </w:rPr>
        <w:t xml:space="preserve">Important notice: figures in this report combine real, notebook-computed results with clearly labeled assumption-based estimates. All results are unaudited and have not been independently verified. This report is provided for illustrative purposes only and does not constitute audited financial statements, investment advice, or a production deployment certification.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