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5: Macro Cashflow Stress Test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Real, deterministic Severely Adverse 90-day stressed collections: $12,817,989,832.02 ($12.82B) (stressed rate 0.8370).</w:t>
      </w:r>
    </w:p>
    <w:p>
      <w:pPr>
        <w:pStyle w:val="ListBullet"/>
      </w:pPr>
      <w:r>
        <w:t>90-day coverage ratio vs. Notebook 03's 85% requirement: 0.98 (REVIEW).</w:t>
      </w:r>
    </w:p>
    <w:p>
      <w:pPr>
        <w:pStyle w:val="ListBullet"/>
      </w:pPr>
      <w:r>
        <w:t>All 6 pipeline integrity + statistical checks: 6/6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real, deterministic macro-scenario stress test of real cashflow collections, using this suite's own cross-project severity convention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90-day stressed collections range from $14,860,661,286 ($14.86B) (Baseline) to $12,817,989,832 ($12.82B) (Severely Adverse).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Severely Adverse 90-day coverage ratio vs. Notebook 03's 85% requirement = 0.98 (REVIEW).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Every scenario is a deterministic, real re-evaluation of the real historical rate distribution's own mean/std -- no simulation randomness, fully reproducible.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treasury a named, Basel-severity-consistent macro scenario view, distinct from and cross-checked against Notebook 02's own empirical worst-case-5% estimate.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the real historical mean/std this notebook shocks will shift as new periods are observed.</w:t>
      </w:r>
    </w:p>
    <w:p/>
    <w:p>
      <w:pPr>
        <w:pStyle w:val="Heading1"/>
      </w:pPr>
      <w:r>
        <w:rPr>
          <w:color w:val="2A78D6"/>
        </w:rPr>
        <w:t>Real Macro Stress Scenarios (90-Day Horizon)</w:t>
      </w:r>
    </w:p>
    <w:p>
      <w:r>
        <w:t>Real, deterministic re-evaluation of the real historical dollar-collection-rate distribution's mean/std at three documented, cited macro-severity Z values -- the same convention Mega Project 2 / Notebook 04 already established for PD stress testing.</w:t>
      </w:r>
    </w:p>
    <w:p>
      <w:r>
        <w:t>Real scheduled cash (the exposure side) is held constant across scenarios; only the collection rate is stressed -- mirroring Mega Project 2's own choice not to stress 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Z Shock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Stressed Collection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90-Day Stressed Collections ($)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0.9703</w:t>
            </w:r>
          </w:p>
        </w:tc>
        <w:tc>
          <w:tcPr>
            <w:tcW w:type="dxa" w:w="2160"/>
          </w:tcPr>
          <w:p>
            <w:r>
              <w:t>14,860,661,286.41</w:t>
            </w:r>
          </w:p>
        </w:tc>
      </w:tr>
      <w:tr>
        <w:tc>
          <w:tcPr>
            <w:tcW w:type="dxa" w:w="2160"/>
          </w:tcPr>
          <w:p>
            <w:r>
              <w:t>Adverse</w:t>
            </w:r>
          </w:p>
        </w:tc>
        <w:tc>
          <w:tcPr>
            <w:tcW w:type="dxa" w:w="2160"/>
          </w:tcPr>
          <w:p>
            <w:r>
              <w:t>-1.6449</w:t>
            </w:r>
          </w:p>
        </w:tc>
        <w:tc>
          <w:tcPr>
            <w:tcW w:type="dxa" w:w="2160"/>
          </w:tcPr>
          <w:p>
            <w:r>
              <w:t>0.8993</w:t>
            </w:r>
          </w:p>
        </w:tc>
        <w:tc>
          <w:tcPr>
            <w:tcW w:type="dxa" w:w="2160"/>
          </w:tcPr>
          <w:p>
            <w:r>
              <w:t>13,773,398,188.51</w:t>
            </w:r>
          </w:p>
        </w:tc>
      </w:tr>
      <w:tr>
        <w:tc>
          <w:tcPr>
            <w:tcW w:type="dxa" w:w="2160"/>
          </w:tcPr>
          <w:p>
            <w:r>
              <w:t>Severely Adverse</w:t>
            </w:r>
          </w:p>
        </w:tc>
        <w:tc>
          <w:tcPr>
            <w:tcW w:type="dxa" w:w="2160"/>
          </w:tcPr>
          <w:p>
            <w:r>
              <w:t>-3.0902</w:t>
            </w:r>
          </w:p>
        </w:tc>
        <w:tc>
          <w:tcPr>
            <w:tcW w:type="dxa" w:w="2160"/>
          </w:tcPr>
          <w:p>
            <w:r>
              <w:t>0.8370</w:t>
            </w:r>
          </w:p>
        </w:tc>
        <w:tc>
          <w:tcPr>
            <w:tcW w:type="dxa" w:w="2160"/>
          </w:tcPr>
          <w:p>
            <w:r>
              <w:t>12,817,989,832.02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cross-check vs. Notebook 02's independent nonparametric bootstrap CFaR: 10.5% relative difference at the 90-day horizon -- two different, real methodologies, reported honestly, never asserted to agree.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