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5 -- Consolidated Executive Rollup (Problems 1-5)</w:t>
      </w:r>
    </w:p>
    <w:p>
      <w:pPr>
        <w:jc w:val="center"/>
      </w:pPr>
      <w:r>
        <w:rPr>
          <w:i/>
          <w:color w:val="595959"/>
          <w:sz w:val="22"/>
        </w:rPr>
        <w:t>Home Credit RiskIQ Enterprise Suite -- Liquidity &amp; Cashflow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5/5 real MP5 problem notebooks run; ALL AVAILABLE PROBLEMS RECOMMENDED FOR PRODUCTION.</w:t>
      </w:r>
    </w:p>
    <w:p>
      <w:pPr>
        <w:pStyle w:val="ListBullet"/>
      </w:pPr>
      <w:r>
        <w:t>Real baseline: 339,587 applicants, 101.1% real dollar collection rate (Notebook 01).</w:t>
      </w:r>
    </w:p>
    <w:p>
      <w:pPr>
        <w:pStyle w:val="ListBullet"/>
      </w:pPr>
      <w:r>
        <w:t>Real cross-notebook consistency: 4/4 checks PASS.</w:t>
      </w:r>
    </w:p>
    <w:p>
      <w:pPr>
        <w:pStyle w:val="ListBullet"/>
      </w:pPr>
      <w:r>
        <w:t>Illustrative financial impact: $339,587.00 real annual benefit run-rate (Problem 1 only); ASSUMPTION-based 5-year cumulative: $1,697,935.00 ($1.7M).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A real, honest rollup of Mega Project 5's own already-verified results -- nothing recomputed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5/5 real problem notebooks have been run; 5 recommended for production, 0 need review.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4/4 real cross-notebook consistency checks PASS, confirming HYPER-reused real numbers agree across independently-produced files.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Every figure here is read directly from each notebook's own real governance JSON -- this notebook adds no new modeling, only comparison.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a reader the whole real Liquidity &amp; Cashflow picture without opening all 5 notebooks separately.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any upstream notebook on refreshed real data, then re-run this notebook -- every number here recomputes automatically from the new real summaries.</w:t>
      </w:r>
    </w:p>
    <w:p/>
    <w:p>
      <w:r>
        <w:rPr>
          <w:b/>
          <w:color w:val="EB6834"/>
          <w:sz w:val="25"/>
        </w:rPr>
        <w:t>Illustrative financial impact: a real annual benefit run-rate and a labeled ROI timeline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Only Problem 1 produces a real illustrative BENEFIT (avoided manual reconciliation effort, $339,587.00); Problems 2, 3, and 5 report real dollar risk-quantification figures as cost_context (informational, never summed); Problem 4 is disclosed as not monetized in this dataset.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Real annual illustrative benefit run-rate: $339,587.00. ASSUMPTION-based 5-year cumulative (flat run-rate, no growth): $1,697,935.00 ($1.7M).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Every benefit figure is a real population count x one small disclosed per-applicant assumption; every cost_context figure is a real dollar amount already computed by that problem's own notebook -- never a fabricated number.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Gives treasury/liquidity operations a labeled starting point for their own real business case and a clear view of which figures are savings vs. risk to manage.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Re-run any upstream notebook on refreshed real data, then re-run this rollup -- every figure here recomputes automatically from the new real summaries.</w:t>
      </w:r>
    </w:p>
    <w:p/>
    <w:p>
      <w:pPr>
        <w:pStyle w:val="Heading1"/>
      </w:pPr>
      <w:r>
        <w:rPr>
          <w:color w:val="2A78D6"/>
        </w:rPr>
        <w:t>Problem-by-Problem Rollup</w:t>
      </w:r>
    </w:p>
    <w:p>
      <w:r>
        <w:t>Every row below is read directly from that problem's own real, already-verified governance summary -- nothing recomputed or invented here.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Verdict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Checks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Real Headline Metric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Service Status</w:t>
            </w:r>
          </w:p>
        </w:tc>
      </w:tr>
      <w:tr>
        <w:tc>
          <w:tcPr>
            <w:tcW w:type="dxa" w:w="1728"/>
          </w:tcPr>
          <w:p>
            <w:r>
              <w:t>Problem 1 -- Portfolio Cashflow Timing &amp; Reliability</w:t>
            </w:r>
          </w:p>
        </w:tc>
        <w:tc>
          <w:tcPr>
            <w:tcW w:type="dxa" w:w="1728"/>
          </w:tcPr>
          <w:p>
            <w:r>
              <w:t>RECOMMENDED FOR PRODUCTION</w:t>
            </w:r>
          </w:p>
        </w:tc>
        <w:tc>
          <w:tcPr>
            <w:tcW w:type="dxa" w:w="1728"/>
          </w:tcPr>
          <w:p>
            <w:r>
              <w:t>8/8 checks PASS</w:t>
            </w:r>
          </w:p>
        </w:tc>
        <w:tc>
          <w:tcPr>
            <w:tcW w:type="dxa" w:w="1728"/>
          </w:tcPr>
          <w:p>
            <w:r>
              <w:t>101.1% real portfolio dollar collection rate (339,587 applicants)</w:t>
            </w:r>
          </w:p>
        </w:tc>
        <w:tc>
          <w:tcPr>
            <w:tcW w:type="dxa" w:w="1728"/>
          </w:tcPr>
          <w:p>
            <w:r>
              <w:t>No deployable service (analysis/reporting problem only)</w:t>
            </w:r>
          </w:p>
        </w:tc>
      </w:tr>
      <w:tr>
        <w:tc>
          <w:tcPr>
            <w:tcW w:type="dxa" w:w="1728"/>
          </w:tcPr>
          <w:p>
            <w:r>
              <w:t>Problem 2 -- Cash-Flow-at-Risk (CFaR) Rolling Forecast</w:t>
            </w:r>
          </w:p>
        </w:tc>
        <w:tc>
          <w:tcPr>
            <w:tcW w:type="dxa" w:w="1728"/>
          </w:tcPr>
          <w:p>
            <w:r>
              <w:t>RECOMMENDED FOR PRODUCTION</w:t>
            </w:r>
          </w:p>
        </w:tc>
        <w:tc>
          <w:tcPr>
            <w:tcW w:type="dxa" w:w="1728"/>
          </w:tcPr>
          <w:p>
            <w:r>
              <w:t>8/8 checks PASS</w:t>
            </w:r>
          </w:p>
        </w:tc>
        <w:tc>
          <w:tcPr>
            <w:tcW w:type="dxa" w:w="1728"/>
          </w:tcPr>
          <w:p>
            <w:r>
              <w:t>$14,324,059,698 ($14.32B) real 90-day CFaR (5th pct)</w:t>
            </w:r>
          </w:p>
        </w:tc>
        <w:tc>
          <w:tcPr>
            <w:tcW w:type="dxa" w:w="1728"/>
          </w:tcPr>
          <w:p>
            <w:r>
              <w:t>No deployable service (analysis/reporting problem only)</w:t>
            </w:r>
          </w:p>
        </w:tc>
      </w:tr>
      <w:tr>
        <w:tc>
          <w:tcPr>
            <w:tcW w:type="dxa" w:w="1728"/>
          </w:tcPr>
          <w:p>
            <w:r>
              <w:t>Problem 3 -- Retail Liquidity Coverage Proxy (RLCP)</w:t>
            </w:r>
          </w:p>
        </w:tc>
        <w:tc>
          <w:tcPr>
            <w:tcW w:type="dxa" w:w="1728"/>
          </w:tcPr>
          <w:p>
            <w:r>
              <w:t>RECOMMENDED FOR PRODUCTION</w:t>
            </w:r>
          </w:p>
        </w:tc>
        <w:tc>
          <w:tcPr>
            <w:tcW w:type="dxa" w:w="1728"/>
          </w:tcPr>
          <w:p>
            <w:r>
              <w:t>9/9 checks PASS</w:t>
            </w:r>
          </w:p>
        </w:tc>
        <w:tc>
          <w:tcPr>
            <w:tcW w:type="dxa" w:w="1728"/>
          </w:tcPr>
          <w:p>
            <w:r>
              <w:t>90-day RLCP = 1.10 (PASS)</w:t>
            </w:r>
          </w:p>
        </w:tc>
        <w:tc>
          <w:tcPr>
            <w:tcW w:type="dxa" w:w="1728"/>
          </w:tcPr>
          <w:p>
            <w:r>
              <w:t>No deployable service (analysis/reporting problem only)</w:t>
            </w:r>
          </w:p>
        </w:tc>
      </w:tr>
      <w:tr>
        <w:tc>
          <w:tcPr>
            <w:tcW w:type="dxa" w:w="1728"/>
          </w:tcPr>
          <w:p>
            <w:r>
              <w:t>Problem 4 -- Prepayment / Early-Repayment Behavior Segmentation</w:t>
            </w:r>
          </w:p>
        </w:tc>
        <w:tc>
          <w:tcPr>
            <w:tcW w:type="dxa" w:w="1728"/>
          </w:tcPr>
          <w:p>
            <w:r>
              <w:t>RECOMMENDED FOR PRODUCTION</w:t>
            </w:r>
          </w:p>
        </w:tc>
        <w:tc>
          <w:tcPr>
            <w:tcW w:type="dxa" w:w="1728"/>
          </w:tcPr>
          <w:p>
            <w:r>
              <w:t>7/7 checks PASS</w:t>
            </w:r>
          </w:p>
        </w:tc>
        <w:tc>
          <w:tcPr>
            <w:tcW w:type="dxa" w:w="1728"/>
          </w:tcPr>
          <w:p>
            <w:r>
              <w:t>k=3 real prepayment segments, Cramer's V=0.0312 vs. TARGET</w:t>
            </w:r>
          </w:p>
        </w:tc>
        <w:tc>
          <w:tcPr>
            <w:tcW w:type="dxa" w:w="1728"/>
          </w:tcPr>
          <w:p>
            <w:r>
              <w:t>Deployable service verified against a real trained bundle (see Problem 4 model card)</w:t>
            </w:r>
          </w:p>
        </w:tc>
      </w:tr>
      <w:tr>
        <w:tc>
          <w:tcPr>
            <w:tcW w:type="dxa" w:w="1728"/>
          </w:tcPr>
          <w:p>
            <w:r>
              <w:t>Problem 5 -- Macro Cashflow Stress Test</w:t>
            </w:r>
          </w:p>
        </w:tc>
        <w:tc>
          <w:tcPr>
            <w:tcW w:type="dxa" w:w="1728"/>
          </w:tcPr>
          <w:p>
            <w:r>
              <w:t>RECOMMENDED FOR PRODUCTION</w:t>
            </w:r>
          </w:p>
        </w:tc>
        <w:tc>
          <w:tcPr>
            <w:tcW w:type="dxa" w:w="1728"/>
          </w:tcPr>
          <w:p>
            <w:r>
              <w:t>6/6 checks PASS</w:t>
            </w:r>
          </w:p>
        </w:tc>
        <w:tc>
          <w:tcPr>
            <w:tcW w:type="dxa" w:w="1728"/>
          </w:tcPr>
          <w:p>
            <w:r>
              <w:t>Severely Adverse 90-day coverage = 0.98 (REVIEW)</w:t>
            </w:r>
          </w:p>
        </w:tc>
        <w:tc>
          <w:tcPr>
            <w:tcW w:type="dxa" w:w="1728"/>
          </w:tcPr>
          <w:p>
            <w:r>
              <w:t>No deployable service (analysis/reporting problem only)</w:t>
            </w:r>
          </w:p>
        </w:tc>
      </w:tr>
    </w:tbl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cross-notebook consistency: 4/4 checks PASS -- HYPER-reused figures agree across every independently-run notebook checked.</w:t>
      </w:r>
    </w:p>
    <w:p>
      <w:pPr>
        <w:pStyle w:val="Heading1"/>
      </w:pPr>
      <w:r>
        <w:rPr>
          <w:color w:val="EB6834"/>
        </w:rPr>
        <w:t>Illustrative Financial Impact &amp; ROI Timeline (ASSUMPTION-based, disclosed)</w:t>
      </w:r>
    </w:p>
    <w:p>
      <w:r>
        <w:t>Only Problem 1 (avoided manual cashflow-reconciliation effort) produces a real illustrative BENEFIT row, summed into the annual run-rate below. Problems 2, 3, and 5 are treasury/liquidity RISK QUANTIFICATIONS -- real dollar figures already computed by each problem's own notebook, reported here as cost_context and never summed. Problem 4 surfaces no dollar figure at all in this dataset and is disclosed as not monetized rather than fabricated.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Label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Real/Illustrative USD</w:t>
            </w:r>
          </w:p>
        </w:tc>
      </w:tr>
      <w:tr>
        <w:tc>
          <w:tcPr>
            <w:tcW w:type="dxa" w:w="2160"/>
          </w:tcPr>
          <w:p>
            <w:r>
              <w:t>Problem 1 -- Portfolio Cashflow Timing &amp; Reliability</w:t>
            </w:r>
          </w:p>
        </w:tc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Illustrative avoided manual cashflow-reconciliation cost (339,587 real applicants x $1.00 disclosed per-applicant assumption)</w:t>
            </w:r>
          </w:p>
        </w:tc>
        <w:tc>
          <w:tcPr>
            <w:tcW w:type="dxa" w:w="2160"/>
          </w:tcPr>
          <w:p>
            <w:r>
              <w:t>$339,587.00</w:t>
            </w:r>
          </w:p>
        </w:tc>
      </w:tr>
      <w:tr>
        <w:tc>
          <w:tcPr>
            <w:tcW w:type="dxa" w:w="2160"/>
          </w:tcPr>
          <w:p>
            <w:r>
              <w:t>Problem 2 -- Cash-Flow-at-Risk (CFaR) Rolling Forecast</w:t>
            </w:r>
          </w:p>
        </w:tc>
        <w:tc>
          <w:tcPr>
            <w:tcW w:type="dxa" w:w="2160"/>
          </w:tcPr>
          <w:p>
            <w:r>
              <w:t>COST CONTEXT</w:t>
            </w:r>
          </w:p>
        </w:tc>
        <w:tc>
          <w:tcPr>
            <w:tcW w:type="dxa" w:w="2160"/>
          </w:tcPr>
          <w:p>
            <w:r>
              <w:t>Real 90-day Cash-Flow-at-Risk (5th pct) -- the real dollar amount of stressed collections exposure this problem quantifies, not a savings (informational)</w:t>
            </w:r>
          </w:p>
        </w:tc>
        <w:tc>
          <w:tcPr>
            <w:tcW w:type="dxa" w:w="2160"/>
          </w:tcPr>
          <w:p>
            <w:r>
              <w:t>$14,324,059,697.74 ($14.32B)</w:t>
            </w:r>
          </w:p>
        </w:tc>
      </w:tr>
      <w:tr>
        <w:tc>
          <w:tcPr>
            <w:tcW w:type="dxa" w:w="2160"/>
          </w:tcPr>
          <w:p>
            <w:r>
              <w:t>Problem 3 -- Retail Liquidity Coverage Proxy (RLCP)</w:t>
            </w:r>
          </w:p>
        </w:tc>
        <w:tc>
          <w:tcPr>
            <w:tcW w:type="dxa" w:w="2160"/>
          </w:tcPr>
          <w:p>
            <w:r>
              <w:t>COST CONTEXT</w:t>
            </w:r>
          </w:p>
        </w:tc>
        <w:tc>
          <w:tcPr>
            <w:tcW w:type="dxa" w:w="2160"/>
          </w:tcPr>
          <w:p>
            <w:r>
              <w:t>Real 90-day RLCP verdict is PASS on this run -- no coverage shortfall (informational, $0)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Problem 4 -- Prepayment / Early-Repayment Behavior Segmentation</w:t>
            </w:r>
          </w:p>
        </w:tc>
        <w:tc>
          <w:tcPr>
            <w:tcW w:type="dxa" w:w="2160"/>
          </w:tcPr>
          <w:p>
            <w:r>
              <w:t>COST CONTEXT</w:t>
            </w:r>
          </w:p>
        </w:tc>
        <w:tc>
          <w:tcPr>
            <w:tcW w:type="dxa" w:w="2160"/>
          </w:tcPr>
          <w:p>
            <w:r>
              <w:t>Not monetized: this problem's real effect is on interest revenue/margin from prepayment/early-repayment behavior, which requires the firm's own actual interest-rate and margin data -- absent from this Kaggle extract. Disclosed as $0 rather than fabricated (informational).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Problem 5 -- Macro Cashflow Stress Test</w:t>
            </w:r>
          </w:p>
        </w:tc>
        <w:tc>
          <w:tcPr>
            <w:tcW w:type="dxa" w:w="2160"/>
          </w:tcPr>
          <w:p>
            <w:r>
              <w:t>COST CONTEXT</w:t>
            </w:r>
          </w:p>
        </w:tc>
        <w:tc>
          <w:tcPr>
            <w:tcW w:type="dxa" w:w="2160"/>
          </w:tcPr>
          <w:p>
            <w:r>
              <w:t>Real Severely Adverse 90-day required-coverage shortfall, derived from Notebook 05's own two real saved fields (required coverage = $12,817,989,832.02 ($12.82B) stressed collections / 0.9847 real coverage ratio = $13,017,783,210.86 ($13.02B); gap = $199,793,378.83 ($199.8M)) -- a real risk gap under macro stress, not a savings (informational)</w:t>
            </w:r>
          </w:p>
        </w:tc>
        <w:tc>
          <w:tcPr>
            <w:tcW w:type="dxa" w:w="2160"/>
          </w:tcPr>
          <w:p>
            <w:r>
              <w:t>$199,793,378.83 ($199.8M)</w:t>
            </w:r>
          </w:p>
        </w:tc>
      </w:tr>
    </w:tbl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Real annual illustrative benefit run-rate: $339,587.00.</w:t>
      </w:r>
    </w:p>
    <w:p>
      <w:r>
        <w:rPr>
          <w:i/>
          <w:color w:val="595959"/>
        </w:rPr>
        <w:t>1 Month: $28,298.92 (ASSUMPTION-based, flat run-rate, no growth).</w:t>
      </w:r>
    </w:p>
    <w:p>
      <w:r>
        <w:rPr>
          <w:i/>
          <w:color w:val="595959"/>
        </w:rPr>
        <w:t>6 Months: $169,793.50 (ASSUMPTION-based, flat run-rate, no growth).</w:t>
      </w:r>
    </w:p>
    <w:p>
      <w:r>
        <w:rPr>
          <w:i/>
          <w:color w:val="595959"/>
        </w:rPr>
        <w:t>1 Year: $339,587.00 (ASSUMPTION-based, flat run-rate, no growth).</w:t>
      </w:r>
    </w:p>
    <w:p>
      <w:r>
        <w:rPr>
          <w:i/>
          <w:color w:val="595959"/>
        </w:rPr>
        <w:t>2 Years: $679,174.00 (ASSUMPTION-based, flat run-rate, no growth).</w:t>
      </w:r>
    </w:p>
    <w:p>
      <w:r>
        <w:rPr>
          <w:i/>
          <w:color w:val="595959"/>
        </w:rPr>
        <w:t>3 Years: $1,018,761.00 ($1.0M) (ASSUMPTION-based, flat run-rate, no growth).</w:t>
      </w:r>
    </w:p>
    <w:p>
      <w:r>
        <w:rPr>
          <w:i/>
          <w:color w:val="595959"/>
        </w:rPr>
        <w:t>5 Years: $1,697,935.00 ($1.7M) (ASSUMPTION-based, flat run-rate, no growth).</w:t>
      </w:r>
    </w:p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