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Problem 3 — Credit Score Estimation</w:t>
      </w:r>
    </w:p>
    <w:p>
      <w:pPr>
        <w:jc w:val="center"/>
      </w:pPr>
      <w:r>
        <w:rPr>
          <w:i/>
          <w:color w:val="595959"/>
          <w:sz w:val="22"/>
        </w:rPr>
        <w:t>Mega Project 1: Intelligent Underwriting &amp; Automated Credit Decisioning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Real PDO scorecard built on Problem 1's real LightGBM PD model — 307,511 real customers scored, score range 425-671.</w:t>
      </w:r>
    </w:p>
    <w:p>
      <w:pPr>
        <w:pStyle w:val="ListBullet"/>
      </w:pPr>
      <w:r>
        <w:t>Real score discrimination: AUC 0.8167 (95% bootstrap CI [0.8141, 0.8193]).</w:t>
      </w:r>
    </w:p>
    <w:p>
      <w:pPr>
        <w:pStyle w:val="ListBullet"/>
      </w:pPr>
      <w:r>
        <w:t>Deployment readiness verdict: RECOMMENDED FOR PRODUCTION</w:t>
      </w:r>
    </w:p>
    <w:p>
      <w:pPr>
        <w:pStyle w:val="ListBullet"/>
      </w:pPr>
      <w:r>
        <w:t>Thin-file population (no bureau history): 44,020 (14.31%) of scored customers.</w:t>
      </w:r>
    </w:p>
    <w:p>
      <w:pPr>
        <w:pStyle w:val="ListBullet"/>
      </w:pPr>
      <w:r>
        <w:t>SHAP + LIME explainability computed for the upstream champion model; top real driver: EXT_SOURCE_2.</w:t>
      </w:r>
    </w:p>
    <w:p>
      <w:pPr>
        <w:pStyle w:val="ListBullet"/>
      </w:pPr>
      <w:r>
        <w:t>All 11 pipeline integrity checks: 11/11 PASS.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Problem 1's LightGBM model meets the scorecard deployment bar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Score AUC 0.8167 (95% bootstrap CI [0.8141, 0.8193]); deployment checks 4/4 PASS.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Calibration gap 0.0118 vs. &lt;0.1 threshold; split-half PSI 0.0000 vs. &lt;0.1 threshold.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No further tuning required this cycle.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Directly supports real-time credit-score display in the underwriting-automation workflow.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Verdict computed fresh on every run — re-check before each deployment cycle.</w:t>
      </w:r>
    </w:p>
    <w:p/>
    <w:p>
      <w:r>
        <w:rPr>
          <w:b/>
          <w:color w:val="EB6834"/>
          <w:sz w:val="25"/>
        </w:rPr>
        <w:t>Reduce the 14.3% thin-file population's reliance on application-only signal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44,020 of 307,511 real customers have zero bureau credit records and are scored on application fields alone.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Track the thin-file share and its mean score gap vs. bureau-scored customers on every run.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Consider Notebook 02's broader servicing-history feature set (POS_CASH/installments/credit_card) as an alternative-data signal for this specific population in a future cycle.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Directly extends the standing instruction to integrate relevant supplementary datasets for accuracy, applied here to the thin-file sub-population specifically.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Target: evaluate alongside the next Mega Project 1 feature-harmonization pass.</w:t>
      </w:r>
    </w:p>
    <w:p/>
    <w:p>
      <w:r>
        <w:rPr>
          <w:b/>
          <w:color w:val="1BAF7A"/>
          <w:sz w:val="25"/>
        </w:rPr>
        <w:t>'Very Poor' band concentrates the real default risk</w:t>
      </w:r>
    </w:p>
    <w:p>
      <w:pPr>
        <w:pStyle w:val="ListBullet"/>
      </w:pPr>
      <w:r>
        <w:rPr>
          <w:b/>
          <w:color w:val="1BAF7A"/>
        </w:rPr>
        <w:t xml:space="preserve">Specific: </w:t>
      </w:r>
      <w:r>
        <w:t>Real default rate 25.00% in the 'Very Poor' band vs. 0.80% in 'Excellent'.</w:t>
      </w:r>
    </w:p>
    <w:p>
      <w:pPr>
        <w:pStyle w:val="ListBullet"/>
      </w:pPr>
      <w:r>
        <w:rPr>
          <w:b/>
          <w:color w:val="1BAF7A"/>
        </w:rPr>
        <w:t xml:space="preserve">Measurable: </w:t>
      </w:r>
      <w:r>
        <w:t>$32,399,409,152 of real portfolio volume sits in this highest-risk band.</w:t>
      </w:r>
    </w:p>
    <w:p>
      <w:pPr>
        <w:pStyle w:val="ListBullet"/>
      </w:pPr>
      <w:r>
        <w:rPr>
          <w:b/>
          <w:color w:val="1BAF7A"/>
        </w:rPr>
        <w:t xml:space="preserve">Achievable: </w:t>
      </w:r>
      <w:r>
        <w:t>Route this band to enhanced manual review or tighter approval terms in the underwriting policy.</w:t>
      </w:r>
    </w:p>
    <w:p>
      <w:pPr>
        <w:pStyle w:val="ListBullet"/>
      </w:pPr>
      <w:r>
        <w:rPr>
          <w:b/>
          <w:color w:val="1BAF7A"/>
        </w:rPr>
        <w:t xml:space="preserve">Relevant: </w:t>
      </w:r>
      <w:r>
        <w:t>Directly supports risk-tiered decisioning across the underwriting-automation workflow.</w:t>
      </w:r>
    </w:p>
    <w:p>
      <w:pPr>
        <w:pStyle w:val="ListBullet"/>
      </w:pPr>
      <w:r>
        <w:rPr>
          <w:b/>
          <w:color w:val="1BAF7A"/>
        </w:rPr>
        <w:t xml:space="preserve">Time-bound: </w:t>
      </w:r>
      <w:r>
        <w:t>Target: incorporate into the next underwriting policy review cycle.</w:t>
      </w:r>
    </w:p>
    <w:p/>
    <w:p>
      <w:pPr>
        <w:pStyle w:val="Heading1"/>
      </w:pPr>
      <w:r>
        <w:rPr>
          <w:color w:val="2A78D6"/>
        </w:rPr>
        <w:t>Exploratory Data Analysis &amp; Data Quality of the Scoring Population (SOP Stage 1B/2)</w:t>
      </w:r>
    </w:p>
    <w:p>
      <w:r>
        <w:t>15 of 56 real scoring features have at least one missing value (imputed via Notebook 01's fitted imputer, never dropped).</w:t>
      </w:r>
    </w:p>
    <w:p>
      <w:r>
        <w:t>IQR-based outlier counts (real): AMT_INCOME_TOTAL=14,035 (4.6%); AMT_CREDIT=6,562 (2.1%); AGE_YEARS=0 (0.0%).</w:t>
      </w:r>
    </w:p>
    <w:p>
      <w:r>
        <w:drawing>
          <wp:inline xmlns:a="http://schemas.openxmlformats.org/drawingml/2006/main" xmlns:pic="http://schemas.openxmlformats.org/drawingml/2006/picture">
            <wp:extent cx="5486400" cy="4220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eda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15 of 56 real scoring features have at least one missing value; the worst, EXT_SOURCE_1, is missing in 56.4% of the scoring population.</w:t>
      </w:r>
    </w:p>
    <w:p>
      <w:r>
        <w:rPr>
          <w:i/>
          <w:color w:val="595959"/>
        </w:rPr>
        <w:t>44,020 / 307,511 customers (14.31%) are thin-file (zero real bureau credit records) and are scored on application-only signal — tracked separately throughout, never silently merged.</w:t>
      </w:r>
    </w:p>
    <w:p>
      <w:r>
        <w:rPr>
          <w:i/>
          <w:color w:val="595959"/>
        </w:rPr>
        <w:t>Use the filter above to switch between the top-15 and top-5 views of this same real ranking.</w:t>
      </w:r>
    </w:p>
    <w:p>
      <w:pPr>
        <w:pStyle w:val="Heading1"/>
      </w:pPr>
      <w:r>
        <w:rPr>
          <w:color w:val="EB6834"/>
        </w:rPr>
        <w:t>Numeric Distributions &amp; Outliers</w:t>
      </w:r>
    </w:p>
    <w:p>
      <w:r>
        <w:drawing>
          <wp:inline xmlns:a="http://schemas.openxmlformats.org/drawingml/2006/main" xmlns:pic="http://schemas.openxmlformats.org/drawingml/2006/picture">
            <wp:extent cx="548640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eda_distribu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BAF7A"/>
        </w:rPr>
        <w:t>Correlation of Scoring Features with Target</w:t>
      </w:r>
    </w:p>
    <w:p>
      <w:r>
        <w:drawing>
          <wp:inline xmlns:a="http://schemas.openxmlformats.org/drawingml/2006/main" xmlns:pic="http://schemas.openxmlformats.org/drawingml/2006/picture">
            <wp:extent cx="5486400" cy="39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eda_cor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EDA100"/>
        </w:rPr>
        <w:t>Real Score Distribution &amp; Band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da100"/>
          </w:tcPr>
          <w:p>
            <w:r>
              <w:rPr>
                <w:b/>
                <w:color w:val="1A1A1A"/>
              </w:rPr>
              <w:t>Score Band</w:t>
            </w:r>
          </w:p>
        </w:tc>
        <w:tc>
          <w:tcPr>
            <w:tcW w:type="dxa" w:w="2160"/>
            <w:shd w:fill="eda100"/>
          </w:tcPr>
          <w:p>
            <w:r>
              <w:rPr>
                <w:b/>
                <w:color w:val="1A1A1A"/>
              </w:rPr>
              <w:t>Customers</w:t>
            </w:r>
          </w:p>
        </w:tc>
        <w:tc>
          <w:tcPr>
            <w:tcW w:type="dxa" w:w="2160"/>
            <w:shd w:fill="eda100"/>
          </w:tcPr>
          <w:p>
            <w:r>
              <w:rPr>
                <w:b/>
                <w:color w:val="1A1A1A"/>
              </w:rPr>
              <w:t>Real Default Rate</w:t>
            </w:r>
          </w:p>
        </w:tc>
        <w:tc>
          <w:tcPr>
            <w:tcW w:type="dxa" w:w="2160"/>
            <w:shd w:fill="eda100"/>
          </w:tcPr>
          <w:p>
            <w:r>
              <w:rPr>
                <w:b/>
                <w:color w:val="1A1A1A"/>
              </w:rPr>
              <w:t>Mean Score</w:t>
            </w:r>
          </w:p>
        </w:tc>
      </w:tr>
      <w:tr>
        <w:tc>
          <w:tcPr>
            <w:tcW w:type="dxa" w:w="2160"/>
          </w:tcPr>
          <w:p>
            <w:r>
              <w:t>Excellent</w:t>
            </w:r>
          </w:p>
        </w:tc>
        <w:tc>
          <w:tcPr>
            <w:tcW w:type="dxa" w:w="2160"/>
          </w:tcPr>
          <w:p>
            <w:r>
              <w:t>61502</w:t>
            </w:r>
          </w:p>
        </w:tc>
        <w:tc>
          <w:tcPr>
            <w:tcW w:type="dxa" w:w="2160"/>
          </w:tcPr>
          <w:p>
            <w:r>
              <w:t>0.0080</w:t>
            </w:r>
          </w:p>
        </w:tc>
        <w:tc>
          <w:tcPr>
            <w:tcW w:type="dxa" w:w="2160"/>
          </w:tcPr>
          <w:p>
            <w:r>
              <w:t>608</w:t>
            </w:r>
          </w:p>
        </w:tc>
      </w:tr>
      <w:tr>
        <w:tc>
          <w:tcPr>
            <w:tcW w:type="dxa" w:w="2160"/>
          </w:tcPr>
          <w:p>
            <w:r>
              <w:t>Fair</w:t>
            </w:r>
          </w:p>
        </w:tc>
        <w:tc>
          <w:tcPr>
            <w:tcW w:type="dxa" w:w="2160"/>
          </w:tcPr>
          <w:p>
            <w:r>
              <w:t>61502</w:t>
            </w:r>
          </w:p>
        </w:tc>
        <w:tc>
          <w:tcPr>
            <w:tcW w:type="dxa" w:w="2160"/>
          </w:tcPr>
          <w:p>
            <w:r>
              <w:t>0.0416</w:t>
            </w:r>
          </w:p>
        </w:tc>
        <w:tc>
          <w:tcPr>
            <w:tcW w:type="dxa" w:w="2160"/>
          </w:tcPr>
          <w:p>
            <w:r>
              <w:t>572</w:t>
            </w:r>
          </w:p>
        </w:tc>
      </w:tr>
      <w:tr>
        <w:tc>
          <w:tcPr>
            <w:tcW w:type="dxa" w:w="2160"/>
          </w:tcPr>
          <w:p>
            <w:r>
              <w:t>Good</w:t>
            </w:r>
          </w:p>
        </w:tc>
        <w:tc>
          <w:tcPr>
            <w:tcW w:type="dxa" w:w="2160"/>
          </w:tcPr>
          <w:p>
            <w:r>
              <w:t>61502</w:t>
            </w:r>
          </w:p>
        </w:tc>
        <w:tc>
          <w:tcPr>
            <w:tcW w:type="dxa" w:w="2160"/>
          </w:tcPr>
          <w:p>
            <w:r>
              <w:t>0.0208</w:t>
            </w:r>
          </w:p>
        </w:tc>
        <w:tc>
          <w:tcPr>
            <w:tcW w:type="dxa" w:w="2160"/>
          </w:tcPr>
          <w:p>
            <w:r>
              <w:t>587</w:t>
            </w:r>
          </w:p>
        </w:tc>
      </w:tr>
      <w:tr>
        <w:tc>
          <w:tcPr>
            <w:tcW w:type="dxa" w:w="2160"/>
          </w:tcPr>
          <w:p>
            <w:r>
              <w:t>Poor</w:t>
            </w:r>
          </w:p>
        </w:tc>
        <w:tc>
          <w:tcPr>
            <w:tcW w:type="dxa" w:w="2160"/>
          </w:tcPr>
          <w:p>
            <w:r>
              <w:t>61502</w:t>
            </w:r>
          </w:p>
        </w:tc>
        <w:tc>
          <w:tcPr>
            <w:tcW w:type="dxa" w:w="2160"/>
          </w:tcPr>
          <w:p>
            <w:r>
              <w:t>0.0832</w:t>
            </w:r>
          </w:p>
        </w:tc>
        <w:tc>
          <w:tcPr>
            <w:tcW w:type="dxa" w:w="2160"/>
          </w:tcPr>
          <w:p>
            <w:r>
              <w:t>555</w:t>
            </w:r>
          </w:p>
        </w:tc>
      </w:tr>
      <w:tr>
        <w:tc>
          <w:tcPr>
            <w:tcW w:type="dxa" w:w="2160"/>
          </w:tcPr>
          <w:p>
            <w:r>
              <w:t>Very Poor</w:t>
            </w:r>
          </w:p>
        </w:tc>
        <w:tc>
          <w:tcPr>
            <w:tcW w:type="dxa" w:w="2160"/>
          </w:tcPr>
          <w:p>
            <w:r>
              <w:t>61503</w:t>
            </w:r>
          </w:p>
        </w:tc>
        <w:tc>
          <w:tcPr>
            <w:tcW w:type="dxa" w:w="2160"/>
          </w:tcPr>
          <w:p>
            <w:r>
              <w:t>0.2500</w:t>
            </w:r>
          </w:p>
        </w:tc>
        <w:tc>
          <w:tcPr>
            <w:tcW w:type="dxa" w:w="2160"/>
          </w:tcPr>
          <w:p>
            <w:r>
              <w:t>526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score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DA100"/>
        </w:rPr>
        <w:t xml:space="preserve">Insight — </w:t>
      </w:r>
      <w:r>
        <w:rPr>
          <w:i/>
          <w:color w:val="595959"/>
        </w:rPr>
        <w:t>'Very Poor' carries the highest real default rate (25.00%, mean score 526); 'Excellent' the lowest (0.80%, mean score 608).</w:t>
      </w:r>
    </w:p>
    <w:p>
      <w:r>
        <w:rPr>
          <w:i/>
          <w:color w:val="595959"/>
        </w:rPr>
        <w:t>Score-to-default monotonicity holds across all 5 bands (informational — reported, not forced).</w:t>
      </w:r>
    </w:p>
    <w:p>
      <w:r>
        <w:rPr>
          <w:i/>
          <w:color w:val="595959"/>
        </w:rPr>
        <w:t>Switch the view above to see the same 5 bands by real customer count instead of real default rate.</w:t>
      </w:r>
    </w:p>
    <w:p>
      <w:pPr>
        <w:pStyle w:val="Heading1"/>
      </w:pPr>
      <w:r>
        <w:rPr>
          <w:color w:val="E87BA4"/>
        </w:rPr>
        <w:t>SHAP Explainability (Upstream Champion Model: LightGBM)</w:t>
      </w:r>
    </w:p>
    <w:p>
      <w:r>
        <w:t>Computed on a real 300-row sample of the scoring population. Top 5 real drivers by mean |SHAP value|: [{'feature': 'EXT_SOURCE_2', 'mean_abs_shap': 0.3333}, {'feature': 'EXT_SOURCE_3', 'mean_abs_shap': 0.2792}, {'feature': 'EXT_SOURCE_1', 'mean_abs_shap': 0.1452}, {'feature': 'ANNUITY_TO_CREDIT_RATIO', 'mean_abs_shap': 0.1251}, {'feature': 'INSTAL_PCT_LATE', 'mean_abs_shap': 0.116}].</w:t>
      </w:r>
    </w:p>
    <w:p>
      <w:r>
        <w:drawing>
          <wp:inline xmlns:a="http://schemas.openxmlformats.org/drawingml/2006/main" xmlns:pic="http://schemas.openxmlformats.org/drawingml/2006/picture">
            <wp:extent cx="5486400" cy="4267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shap_summa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87BA4"/>
        </w:rPr>
        <w:t xml:space="preserve">Insight — </w:t>
      </w:r>
      <w:r>
        <w:rPr>
          <w:i/>
          <w:color w:val="595959"/>
        </w:rPr>
        <w:t>Real SHAP explainability was computed for Notebook 01's loaded champion model (LightGBM) on a real 300-row sample of this notebook's own scoring population.</w:t>
      </w:r>
    </w:p>
    <w:p>
      <w:r>
        <w:rPr>
          <w:i/>
          <w:color w:val="595959"/>
        </w:rPr>
        <w:t>The single strongest real driver of predicted default probability is EXT_SOURCE_2 (mean |SHAP| = 0.3333), followed by EXT_SOURCE_3 (mean |SHAP| = 0.2792).</w:t>
      </w:r>
    </w:p>
    <w:p>
      <w:r>
        <w:rPr>
          <w:i/>
          <w:color w:val="595959"/>
        </w:rPr>
        <w:t>Positive SHAP values push a real customer's predicted default probability (and therefore lower credit score) up; negative values push it down — see the beeswarm detail chart for the real direction of each feature's effect.</w:t>
      </w:r>
    </w:p>
    <w:p>
      <w:pPr>
        <w:pStyle w:val="Heading1"/>
      </w:pPr>
      <w:r>
        <w:rPr>
          <w:color w:val="008300"/>
        </w:rPr>
        <w:t>LIME Explainability (Upstream Champion Model, representative real scored customers)</w:t>
      </w:r>
    </w:p>
    <w:p>
      <w:r>
        <w:t>Real cases explained: Most-confident correct default flag, Most-confident correct non-default, A real misclassified customer.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8300"/>
          </w:tcPr>
          <w:p>
            <w:r>
              <w:rPr>
                <w:b/>
                <w:color w:val="FFFFFF"/>
              </w:rPr>
              <w:t>Case</w:t>
            </w:r>
          </w:p>
        </w:tc>
        <w:tc>
          <w:tcPr>
            <w:tcW w:type="dxa" w:w="2880"/>
            <w:shd w:fill="008300"/>
          </w:tcPr>
          <w:p>
            <w:r>
              <w:rPr>
                <w:b/>
                <w:color w:val="FFFFFF"/>
              </w:rPr>
              <w:t>Feature Condition</w:t>
            </w:r>
          </w:p>
        </w:tc>
        <w:tc>
          <w:tcPr>
            <w:tcW w:type="dxa" w:w="2880"/>
            <w:shd w:fill="008300"/>
          </w:tcPr>
          <w:p>
            <w:r>
              <w:rPr>
                <w:b/>
                <w:color w:val="FFFFFF"/>
              </w:rPr>
              <w:t>Weight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CC_MEAN_UTILIZATION &gt; 0.00</w:t>
            </w:r>
          </w:p>
        </w:tc>
        <w:tc>
          <w:tcPr>
            <w:tcW w:type="dxa" w:w="2880"/>
          </w:tcPr>
          <w:p>
            <w:r>
              <w:t>0.0618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EXT_SOURCE_2 &lt;= 0.39</w:t>
            </w:r>
          </w:p>
        </w:tc>
        <w:tc>
          <w:tcPr>
            <w:tcW w:type="dxa" w:w="2880"/>
          </w:tcPr>
          <w:p>
            <w:r>
              <w:t>0.0606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EXT_SOURCE_3 &lt;= 0.42</w:t>
            </w:r>
          </w:p>
        </w:tc>
        <w:tc>
          <w:tcPr>
            <w:tcW w:type="dxa" w:w="2880"/>
          </w:tcPr>
          <w:p>
            <w:r>
              <w:t>0.0598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BUREAU_DEBT_TO_CREDIT_RATIO &gt; 0.43</w:t>
            </w:r>
          </w:p>
        </w:tc>
        <w:tc>
          <w:tcPr>
            <w:tcW w:type="dxa" w:w="2880"/>
          </w:tcPr>
          <w:p>
            <w:r>
              <w:t>0.0481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POS_MEAN_SK_DPD_DEF &lt;= 0.00</w:t>
            </w:r>
          </w:p>
        </w:tc>
        <w:tc>
          <w:tcPr>
            <w:tcW w:type="dxa" w:w="2880"/>
          </w:tcPr>
          <w:p>
            <w:r>
              <w:t>-0.0316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EXT_SOURCE_1 &lt;= 0.51</w:t>
            </w:r>
          </w:p>
        </w:tc>
        <w:tc>
          <w:tcPr>
            <w:tcW w:type="dxa" w:w="2880"/>
          </w:tcPr>
          <w:p>
            <w:r>
              <w:t>0.0315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PREVAPP_MEAN_AMT_ANNUITY &gt; 17828.56</w:t>
            </w:r>
          </w:p>
        </w:tc>
        <w:tc>
          <w:tcPr>
            <w:tcW w:type="dxa" w:w="2880"/>
          </w:tcPr>
          <w:p>
            <w:r>
              <w:t>-0.0219</w:t>
            </w:r>
          </w:p>
        </w:tc>
      </w:tr>
      <w:tr>
        <w:tc>
          <w:tcPr>
            <w:tcW w:type="dxa" w:w="2880"/>
          </w:tcPr>
          <w:p>
            <w:r>
              <w:t>Most-confident correct default flag</w:t>
            </w:r>
          </w:p>
        </w:tc>
        <w:tc>
          <w:tcPr>
            <w:tcW w:type="dxa" w:w="2880"/>
          </w:tcPr>
          <w:p>
            <w:r>
              <w:t>PREVAPP_MEAN_AMT_CREDIT &gt; 207444.60</w:t>
            </w:r>
          </w:p>
        </w:tc>
        <w:tc>
          <w:tcPr>
            <w:tcW w:type="dxa" w:w="2880"/>
          </w:tcPr>
          <w:p>
            <w:r>
              <w:t>0.0213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CC_MEAN_UTILIZATION &lt;= 0.00</w:t>
            </w:r>
          </w:p>
        </w:tc>
        <w:tc>
          <w:tcPr>
            <w:tcW w:type="dxa" w:w="2880"/>
          </w:tcPr>
          <w:p>
            <w:r>
              <w:t>-0.0533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EXT_SOURCE_2 &gt; 0.66</w:t>
            </w:r>
          </w:p>
        </w:tc>
        <w:tc>
          <w:tcPr>
            <w:tcW w:type="dxa" w:w="2880"/>
          </w:tcPr>
          <w:p>
            <w:r>
              <w:t>-0.0471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POS_MEAN_SK_DPD_DEF &lt;= 0.00</w:t>
            </w:r>
          </w:p>
        </w:tc>
        <w:tc>
          <w:tcPr>
            <w:tcW w:type="dxa" w:w="2880"/>
          </w:tcPr>
          <w:p>
            <w:r>
              <w:t>-0.0414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EXT_SOURCE_1 &gt; 0.51</w:t>
            </w:r>
          </w:p>
        </w:tc>
        <w:tc>
          <w:tcPr>
            <w:tcW w:type="dxa" w:w="2880"/>
          </w:tcPr>
          <w:p>
            <w:r>
              <w:t>-0.0359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NAME_CONTRACT_TYPE=1</w:t>
            </w:r>
          </w:p>
        </w:tc>
        <w:tc>
          <w:tcPr>
            <w:tcW w:type="dxa" w:w="2880"/>
          </w:tcPr>
          <w:p>
            <w:r>
              <w:t>-0.0258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BUREAU_DEBT_TO_CREDIT_RATIO &lt;= 0.00</w:t>
            </w:r>
          </w:p>
        </w:tc>
        <w:tc>
          <w:tcPr>
            <w:tcW w:type="dxa" w:w="2880"/>
          </w:tcPr>
          <w:p>
            <w:r>
              <w:t>-0.0198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NAME_EDUCATION_TYPE=1</w:t>
            </w:r>
          </w:p>
        </w:tc>
        <w:tc>
          <w:tcPr>
            <w:tcW w:type="dxa" w:w="2880"/>
          </w:tcPr>
          <w:p>
            <w:r>
              <w:t>-0.0186</w:t>
            </w:r>
          </w:p>
        </w:tc>
      </w:tr>
      <w:tr>
        <w:tc>
          <w:tcPr>
            <w:tcW w:type="dxa" w:w="2880"/>
          </w:tcPr>
          <w:p>
            <w:r>
              <w:t>Most-confident correct non-default</w:t>
            </w:r>
          </w:p>
        </w:tc>
        <w:tc>
          <w:tcPr>
            <w:tcW w:type="dxa" w:w="2880"/>
          </w:tcPr>
          <w:p>
            <w:r>
              <w:t>CODE_GENDER=1</w:t>
            </w:r>
          </w:p>
        </w:tc>
        <w:tc>
          <w:tcPr>
            <w:tcW w:type="dxa" w:w="2880"/>
          </w:tcPr>
          <w:p>
            <w:r>
              <w:t>0.0184</w:t>
            </w:r>
          </w:p>
        </w:tc>
      </w:tr>
      <w:tr>
        <w:tc>
          <w:tcPr>
            <w:tcW w:type="dxa" w:w="2880"/>
          </w:tcPr>
          <w:p>
            <w:r>
              <w:t>A real misclassified customer</w:t>
            </w:r>
          </w:p>
        </w:tc>
        <w:tc>
          <w:tcPr>
            <w:tcW w:type="dxa" w:w="2880"/>
          </w:tcPr>
          <w:p>
            <w:r>
              <w:t>EXT_SOURCE_2 &lt;= 0.39</w:t>
            </w:r>
          </w:p>
        </w:tc>
        <w:tc>
          <w:tcPr>
            <w:tcW w:type="dxa" w:w="2880"/>
          </w:tcPr>
          <w:p>
            <w:r>
              <w:t>0.0640</w:t>
            </w:r>
          </w:p>
        </w:tc>
      </w:tr>
      <w:tr>
        <w:tc>
          <w:tcPr>
            <w:tcW w:type="dxa" w:w="2880"/>
          </w:tcPr>
          <w:p>
            <w:r>
              <w:t>A real misclassified customer</w:t>
            </w:r>
          </w:p>
        </w:tc>
        <w:tc>
          <w:tcPr>
            <w:tcW w:type="dxa" w:w="2880"/>
          </w:tcPr>
          <w:p>
            <w:r>
              <w:t>CC_MEAN_UTILIZATION &lt;= 0.00</w:t>
            </w:r>
          </w:p>
        </w:tc>
        <w:tc>
          <w:tcPr>
            <w:tcW w:type="dxa" w:w="2880"/>
          </w:tcPr>
          <w:p>
            <w:r>
              <w:t>-0.0567</w:t>
            </w:r>
          </w:p>
        </w:tc>
      </w:tr>
      <w:tr>
        <w:tc>
          <w:tcPr>
            <w:tcW w:type="dxa" w:w="2880"/>
          </w:tcPr>
          <w:p>
            <w:r>
              <w:t>A real misclassified customer</w:t>
            </w:r>
          </w:p>
        </w:tc>
        <w:tc>
          <w:tcPr>
            <w:tcW w:type="dxa" w:w="2880"/>
          </w:tcPr>
          <w:p>
            <w:r>
              <w:t>POS_MEAN_SK_DPD_DEF &lt;= 0.00</w:t>
            </w:r>
          </w:p>
        </w:tc>
        <w:tc>
          <w:tcPr>
            <w:tcW w:type="dxa" w:w="2880"/>
          </w:tcPr>
          <w:p>
            <w:r>
              <w:t>-0.0430</w:t>
            </w:r>
          </w:p>
        </w:tc>
      </w:tr>
      <w:tr>
        <w:tc>
          <w:tcPr>
            <w:tcW w:type="dxa" w:w="2880"/>
          </w:tcPr>
          <w:p>
            <w:r>
              <w:t>A real misclassified customer</w:t>
            </w:r>
          </w:p>
        </w:tc>
        <w:tc>
          <w:tcPr>
            <w:tcW w:type="dxa" w:w="2880"/>
          </w:tcPr>
          <w:p>
            <w:r>
              <w:t>EXT_SOURCE_1 &lt;= 0.51</w:t>
            </w:r>
          </w:p>
        </w:tc>
        <w:tc>
          <w:tcPr>
            <w:tcW w:type="dxa" w:w="2880"/>
          </w:tcPr>
          <w:p>
            <w:r>
              <w:t>0.0325</w:t>
            </w:r>
          </w:p>
        </w:tc>
      </w:tr>
      <w:tr>
        <w:tc>
          <w:tcPr>
            <w:tcW w:type="dxa" w:w="2880"/>
          </w:tcPr>
          <w:p>
            <w:r>
              <w:t>A real misclassified customer</w:t>
            </w:r>
          </w:p>
        </w:tc>
        <w:tc>
          <w:tcPr>
            <w:tcW w:type="dxa" w:w="2880"/>
          </w:tcPr>
          <w:p>
            <w:r>
              <w:t>PREVAPP_MEAN_AMT_CREDIT &gt; 207444.60</w:t>
            </w:r>
          </w:p>
        </w:tc>
        <w:tc>
          <w:tcPr>
            <w:tcW w:type="dxa" w:w="2880"/>
          </w:tcPr>
          <w:p>
            <w:r>
              <w:t>0.0232</w:t>
            </w:r>
          </w:p>
        </w:tc>
      </w:tr>
      <w:tr>
        <w:tc>
          <w:tcPr>
            <w:tcW w:type="dxa" w:w="2880"/>
          </w:tcPr>
          <w:p>
            <w:r>
              <w:t>A real misclassified customer</w:t>
            </w:r>
          </w:p>
        </w:tc>
        <w:tc>
          <w:tcPr>
            <w:tcW w:type="dxa" w:w="2880"/>
          </w:tcPr>
          <w:p>
            <w:r>
              <w:t>BUREAU_DEBT_TO_CREDIT_RATIO &lt;= 0.00</w:t>
            </w:r>
          </w:p>
        </w:tc>
        <w:tc>
          <w:tcPr>
            <w:tcW w:type="dxa" w:w="2880"/>
          </w:tcPr>
          <w:p>
            <w:r>
              <w:t>-0.0221</w:t>
            </w:r>
          </w:p>
        </w:tc>
      </w:tr>
      <w:tr>
        <w:tc>
          <w:tcPr>
            <w:tcW w:type="dxa" w:w="2880"/>
          </w:tcPr>
          <w:p>
            <w:r>
              <w:t>A real misclassified customer</w:t>
            </w:r>
          </w:p>
        </w:tc>
        <w:tc>
          <w:tcPr>
            <w:tcW w:type="dxa" w:w="2880"/>
          </w:tcPr>
          <w:p>
            <w:r>
              <w:t>PREVAPP_MEAN_AMT_ANNUITY &gt; 17828.56</w:t>
            </w:r>
          </w:p>
        </w:tc>
        <w:tc>
          <w:tcPr>
            <w:tcW w:type="dxa" w:w="2880"/>
          </w:tcPr>
          <w:p>
            <w:r>
              <w:t>-0.0215</w:t>
            </w:r>
          </w:p>
        </w:tc>
      </w:tr>
      <w:tr>
        <w:tc>
          <w:tcPr>
            <w:tcW w:type="dxa" w:w="2880"/>
          </w:tcPr>
          <w:p>
            <w:r>
              <w:t>A real misclassified customer</w:t>
            </w:r>
          </w:p>
        </w:tc>
        <w:tc>
          <w:tcPr>
            <w:tcW w:type="dxa" w:w="2880"/>
          </w:tcPr>
          <w:p>
            <w:r>
              <w:t>NAME_CONTRACT_TYPE=0</w:t>
            </w:r>
          </w:p>
        </w:tc>
        <w:tc>
          <w:tcPr>
            <w:tcW w:type="dxa" w:w="2880"/>
          </w:tcPr>
          <w:p>
            <w:r>
              <w:t>0.0208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411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lime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08300"/>
        </w:rPr>
        <w:t xml:space="preserve">Insight — </w:t>
      </w:r>
      <w:r>
        <w:rPr>
          <w:i/>
          <w:color w:val="595959"/>
        </w:rPr>
        <w:t>Real local (instance-level) LIME explanations were computed for 3 representative real scored customers selected from this run's own predictions: Most-confident correct default flag, Most-confident correct non-default, A real misclassified customer.</w:t>
      </w:r>
    </w:p>
    <w:p>
      <w:r>
        <w:rPr>
          <w:i/>
          <w:color w:val="595959"/>
        </w:rPr>
        <w:t>Unlike SHAP's global feature-importance ranking above, LIME shows exactly which real feature values moved THIS SPECIFIC customer's score — useful for explaining an individual credit-score result to a customer or auditor.</w:t>
      </w:r>
    </w:p>
    <w:p>
      <w:r>
        <w:rPr>
          <w:i/>
          <w:color w:val="595959"/>
        </w:rPr>
        <w:t>Full per-feature weights for every case are in the LIME Instance Explanations table/sheet below.</w:t>
      </w:r>
    </w:p>
    <w:p>
      <w:pPr>
        <w:pStyle w:val="Heading1"/>
      </w:pPr>
      <w:r>
        <w:rPr>
          <w:color w:val="4A3AA7"/>
        </w:rPr>
        <w:t>Statistical Validation (SOP Stage 4)</w:t>
      </w:r>
    </w:p>
    <w:p>
      <w:r>
        <w:t>Bootstrap 95% CI on score AUC (1000 resamples): [0.8141, 0.8193].</w:t>
      </w:r>
    </w:p>
    <w:p>
      <w:r>
        <w:t>Mean calibration gap across 10 PD deciles: 0.0118 (threshold: &lt;0.1).</w:t>
      </w:r>
    </w:p>
    <w:p>
      <w:r>
        <w:t>Split-half PSI on the SCORE distribution: 0.0000 (threshold: &lt;0.1).</w:t>
      </w:r>
    </w:p>
    <w:p>
      <w:r>
        <w:rPr>
          <w:b/>
          <w:color w:val="4A3AA7"/>
        </w:rPr>
        <w:t xml:space="preserve">Insight — </w:t>
      </w:r>
      <w:r>
        <w:rPr>
          <w:i/>
          <w:color w:val="595959"/>
        </w:rPr>
        <w:t>Mean calibration gap across 10 real PD deciles is 0.0118 (ASSUMPTION threshold: &lt;0.1), so the score is well-calibrated.</w:t>
      </w:r>
    </w:p>
    <w:p>
      <w:r>
        <w:rPr>
          <w:i/>
          <w:color w:val="595959"/>
        </w:rPr>
        <w:t>Split-half PSI on the real SCORE distribution is 0.0000 (ASSUMPTION threshold: &lt;0.1), indicating a stable score distribution.</w:t>
      </w:r>
    </w:p>
    <w:p>
      <w:pPr>
        <w:pStyle w:val="Heading1"/>
      </w:pPr>
      <w:r>
        <w:rPr>
          <w:color w:val="E34948"/>
        </w:rPr>
        <w:t>Portfolio &amp; Financial Impact (real volume figures + one labeled assumption)</w:t>
      </w:r>
    </w:p>
    <w:p>
      <w:r>
        <w:t>Total real scored portfolio volume (AMT_CREDIT): $184,207,081,472 across 307,511 real customers.</w:t>
      </w:r>
    </w:p>
    <w:p>
      <w:r>
        <w:t>ASSUMPTION (illustrative manual-scoring cost, $3.00/customer): applied only to the automated-scoring count, illustrative cost avoided = $922,533. This is a labeled estimate, not a real observed figure.</w:t>
      </w:r>
    </w:p>
    <w:p>
      <w:pPr>
        <w:pStyle w:val="Heading1"/>
      </w:pPr>
      <w:r>
        <w:rPr>
          <w:color w:val="2A78D6"/>
        </w:rPr>
        <w:t>Integrity Checks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upstream_model_loaded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feature_set_matches_upstream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all_customers_scored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score_within_declared_range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no_pd_out_of_bounds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band_count_correct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score_auc_above_random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shap_values_finite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shap_feature_count_matches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lime_explanations_computed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cpu_thread_ceiling_applied_before_import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