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Problem 4 — Repayment Capacity Analysis</w:t>
      </w:r>
    </w:p>
    <w:p>
      <w:pPr>
        <w:jc w:val="center"/>
      </w:pPr>
      <w:r>
        <w:rPr>
          <w:i/>
          <w:color w:val="595959"/>
          <w:sz w:val="22"/>
        </w:rPr>
        <w:t>Mega Project 1: Intelligent Underwriting &amp; Automated Credit Decisioning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307,499 real applicants analyzed for repayment capacity via real, data-derived quintile tiers.</w:t>
      </w:r>
    </w:p>
    <w:p>
      <w:pPr>
        <w:pStyle w:val="ListBullet"/>
      </w:pPr>
      <w:r>
        <w:t>Chi-square: chi2=117.19, p=2.132e-24, Cramer's V=0.0195 (95% bootstrap CI [0.0166, 0.0232]).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ListBullet"/>
      </w:pPr>
      <w:r>
        <w:t>5,550 (1.80%) applicants exceed the CFPB 43% DTI external benchmark.</w:t>
      </w:r>
    </w:p>
    <w:p>
      <w:pPr>
        <w:pStyle w:val="ListBullet"/>
      </w:pPr>
      <w:r>
        <w:t>Cross-validated against Notebook 01's real PD model (LightGBM): Cramer's V=0.0267 agreement between the two independent risk measures.</w:t>
      </w:r>
    </w:p>
    <w:p>
      <w:pPr>
        <w:pStyle w:val="ListBullet"/>
      </w:pPr>
      <w:r>
        <w:t>All 13 pipeline integrity checks: 13/13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Repayment-capacity tiering meets the statistical-robustness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Chi-square p=2.132e-24, Cramer's V 0.0195 (95% bootstrap CI [0.0166, 0.0232]); 4/4 validation checks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Split-half PSI 0.0001 vs. &lt;0.1 threshold; tier monotonicity holds: True.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supports risk-tiered underwriting decisions across Mega Project 1.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Verdict computed fresh on every run — re-check before each policy cycle.</w:t>
      </w:r>
    </w:p>
    <w:p/>
    <w:p>
      <w:r>
        <w:rPr>
          <w:b/>
          <w:color w:val="EB6834"/>
          <w:sz w:val="25"/>
        </w:rPr>
        <w:t>'Weak' tier concentrates real repayment risk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Real default rate 8.70% in the 'Weak' tier (61,500 real applicants) vs. 7.20% in 'Strongest'.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$43,589,067,232 of real portfolio volume sits in this weakest tier.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Route this tier to enhanced manual review or tighter approval terms.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Directly supports risk-tiered decisioning in the underwriting-automation workflow.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Target: incorporate into the next underwriting policy review cycle.</w:t>
      </w:r>
    </w:p>
    <w:p/>
    <w:p>
      <w:r>
        <w:rPr>
          <w:b/>
          <w:color w:val="1BAF7A"/>
          <w:sz w:val="25"/>
        </w:rPr>
        <w:t>1.8% of applicants exceed the CFPB 43% DTI benchmark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5,550 / 307,499 real applicants exceed the external CFPB QM DTI reference threshold; real default rate above this line is 8.34% vs. 8.07% below it.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Track this rate and the default-rate gap on every future run.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Consider this benchmark as a secondary, informational flag alongside (never replacing) the real data-driven repayment tiers above.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Grounds this notebook's real internal segmentation against a widely-used external regulatory reference point.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Target: review alongside the next regulatory-compliance cycle.</w:t>
      </w:r>
    </w:p>
    <w:p/>
    <w:p>
      <w:r>
        <w:rPr>
          <w:b/>
          <w:color w:val="EDA100"/>
          <w:sz w:val="25"/>
        </w:rPr>
        <w:t>Repayment-capacity tiers partially agree with Notebook 01's independent PD model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Cramer's V=0.0267 between REPAYMENT_TIER and Notebook 01's PD-risk band (chi2=875.00, p=6.142e-176); r(capacity ratio, PD)=-0.0217.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Track this cross-model agreement metric on every run where both notebooks have been executed.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Where the two measures diverge for a specific applicant, flag for manual underwriter review rather than trusting either measure alone.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A genuine, real convergent-validity check between this notebook's statistical segmentation and Notebook 01's independently-trained ML model — directly answers whether these two real, separately-derived risk views of the same applicants actually agree.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Target: re-verify after either notebook's underlying model or feature set changes.</w:t>
      </w:r>
    </w:p>
    <w:p/>
    <w:p>
      <w:pPr>
        <w:pStyle w:val="Heading1"/>
      </w:pPr>
      <w:r>
        <w:rPr>
          <w:color w:val="2A78D6"/>
        </w:rPr>
        <w:t>Exploratory Data Analysis &amp; Data Quality (SOP Stage 1B/2)</w:t>
      </w:r>
    </w:p>
    <w:p>
      <w:r>
        <w:t>3 of 8 real ratio-input columns have at least one missing value.</w:t>
      </w:r>
    </w:p>
    <w:p>
      <w:r>
        <w:t>IQR-based outlier counts (real): AMT_INCOME_TOTAL=14,035 (4.6%); AMT_ANNUITY=7,504 (2.4%).</w:t>
      </w:r>
    </w:p>
    <w:p>
      <w:r>
        <w:t>Real correlation of ratio-input columns with TARGET (top 3 by |r|): {'AMT_CREDIT': 0.0304, 'ANNUITY_TO_INCOME_RATIO': 0.0143, 'AMT_ANNUITY': 0.0128}.</w:t>
      </w:r>
    </w:p>
    <w:p>
      <w:r>
        <w:drawing>
          <wp:inline xmlns:a="http://schemas.openxmlformats.org/drawingml/2006/main" xmlns:pic="http://schemas.openxmlformats.org/drawingml/2006/picture">
            <wp:extent cx="5486400" cy="422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3 of 8 real ratio-input columns have at least one missing value.</w:t>
      </w:r>
    </w:p>
    <w:p>
      <w:r>
        <w:rPr>
          <w:i/>
          <w:color w:val="595959"/>
        </w:rPr>
        <w:t>5,550 / 307,499 applicants (1.80%) exceed the 43% CFPB QM DTI benchmark (ASSUMPTION, external regulatory reference) — real default rate above vs. below this benchmark is 8.34% vs. 8.07%.</w:t>
      </w:r>
    </w:p>
    <w:p>
      <w:r>
        <w:rPr>
          <w:i/>
          <w:color w:val="595959"/>
        </w:rPr>
        <w:t>Split-half PSI on the ratio distribution is 0.0001 (ASSUMPTION threshold: &lt;0.1), indicating a stable distribution.</w:t>
      </w:r>
    </w:p>
    <w:p>
      <w:pPr>
        <w:pStyle w:val="Heading1"/>
      </w:pPr>
      <w:r>
        <w:rPr>
          <w:color w:val="EB6834"/>
        </w:rPr>
        <w:t>Real Repayment-Capacity Tiers &amp; Chi-Square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Applicants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Mean Capacity Ratio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Portfolio AMT_CREDIT</w:t>
            </w:r>
          </w:p>
        </w:tc>
      </w:tr>
      <w:tr>
        <w:tc>
          <w:tcPr>
            <w:tcW w:type="dxa" w:w="1728"/>
          </w:tcPr>
          <w:p>
            <w:r>
              <w:t>Weakest</w:t>
            </w:r>
          </w:p>
        </w:tc>
        <w:tc>
          <w:tcPr>
            <w:tcW w:type="dxa" w:w="1728"/>
          </w:tcPr>
          <w:p>
            <w:r>
              <w:t>61500</w:t>
            </w:r>
          </w:p>
        </w:tc>
        <w:tc>
          <w:tcPr>
            <w:tcW w:type="dxa" w:w="1728"/>
          </w:tcPr>
          <w:p>
            <w:r>
              <w:t>0.0851</w:t>
            </w:r>
          </w:p>
        </w:tc>
        <w:tc>
          <w:tcPr>
            <w:tcW w:type="dxa" w:w="1728"/>
          </w:tcPr>
          <w:p>
            <w:r>
              <w:t>3.21</w:t>
            </w:r>
          </w:p>
        </w:tc>
        <w:tc>
          <w:tcPr>
            <w:tcW w:type="dxa" w:w="1728"/>
          </w:tcPr>
          <w:p>
            <w:r>
              <w:t>$49,990,971,537</w:t>
            </w:r>
          </w:p>
        </w:tc>
      </w:tr>
      <w:tr>
        <w:tc>
          <w:tcPr>
            <w:tcW w:type="dxa" w:w="1728"/>
          </w:tcPr>
          <w:p>
            <w:r>
              <w:t>Weak</w:t>
            </w:r>
          </w:p>
        </w:tc>
        <w:tc>
          <w:tcPr>
            <w:tcW w:type="dxa" w:w="1728"/>
          </w:tcPr>
          <w:p>
            <w:r>
              <w:t>61500</w:t>
            </w:r>
          </w:p>
        </w:tc>
        <w:tc>
          <w:tcPr>
            <w:tcW w:type="dxa" w:w="1728"/>
          </w:tcPr>
          <w:p>
            <w:r>
              <w:t>0.0870</w:t>
            </w:r>
          </w:p>
        </w:tc>
        <w:tc>
          <w:tcPr>
            <w:tcW w:type="dxa" w:w="1728"/>
          </w:tcPr>
          <w:p>
            <w:r>
              <w:t>4.71</w:t>
            </w:r>
          </w:p>
        </w:tc>
        <w:tc>
          <w:tcPr>
            <w:tcW w:type="dxa" w:w="1728"/>
          </w:tcPr>
          <w:p>
            <w:r>
              <w:t>$43,589,067,232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61500</w:t>
            </w:r>
          </w:p>
        </w:tc>
        <w:tc>
          <w:tcPr>
            <w:tcW w:type="dxa" w:w="1728"/>
          </w:tcPr>
          <w:p>
            <w:r>
              <w:t>0.0813</w:t>
            </w:r>
          </w:p>
        </w:tc>
        <w:tc>
          <w:tcPr>
            <w:tcW w:type="dxa" w:w="1728"/>
          </w:tcPr>
          <w:p>
            <w:r>
              <w:t>6.15</w:t>
            </w:r>
          </w:p>
        </w:tc>
        <w:tc>
          <w:tcPr>
            <w:tcW w:type="dxa" w:w="1728"/>
          </w:tcPr>
          <w:p>
            <w:r>
              <w:t>$37,765,329,030</w:t>
            </w:r>
          </w:p>
        </w:tc>
      </w:tr>
      <w:tr>
        <w:tc>
          <w:tcPr>
            <w:tcW w:type="dxa" w:w="1728"/>
          </w:tcPr>
          <w:p>
            <w:r>
              <w:t>Strong</w:t>
            </w:r>
          </w:p>
        </w:tc>
        <w:tc>
          <w:tcPr>
            <w:tcW w:type="dxa" w:w="1728"/>
          </w:tcPr>
          <w:p>
            <w:r>
              <w:t>61500</w:t>
            </w:r>
          </w:p>
        </w:tc>
        <w:tc>
          <w:tcPr>
            <w:tcW w:type="dxa" w:w="1728"/>
          </w:tcPr>
          <w:p>
            <w:r>
              <w:t>0.0783</w:t>
            </w:r>
          </w:p>
        </w:tc>
        <w:tc>
          <w:tcPr>
            <w:tcW w:type="dxa" w:w="1728"/>
          </w:tcPr>
          <w:p>
            <w:r>
              <w:t>8.10</w:t>
            </w:r>
          </w:p>
        </w:tc>
        <w:tc>
          <w:tcPr>
            <w:tcW w:type="dxa" w:w="1728"/>
          </w:tcPr>
          <w:p>
            <w:r>
              <w:t>$31,434,052,329</w:t>
            </w:r>
          </w:p>
        </w:tc>
      </w:tr>
      <w:tr>
        <w:tc>
          <w:tcPr>
            <w:tcW w:type="dxa" w:w="1728"/>
          </w:tcPr>
          <w:p>
            <w:r>
              <w:t>Strongest</w:t>
            </w:r>
          </w:p>
        </w:tc>
        <w:tc>
          <w:tcPr>
            <w:tcW w:type="dxa" w:w="1728"/>
          </w:tcPr>
          <w:p>
            <w:r>
              <w:t>61499</w:t>
            </w:r>
          </w:p>
        </w:tc>
        <w:tc>
          <w:tcPr>
            <w:tcW w:type="dxa" w:w="1728"/>
          </w:tcPr>
          <w:p>
            <w:r>
              <w:t>0.0720</w:t>
            </w:r>
          </w:p>
        </w:tc>
        <w:tc>
          <w:tcPr>
            <w:tcW w:type="dxa" w:w="1728"/>
          </w:tcPr>
          <w:p>
            <w:r>
              <w:t>14.59</w:t>
            </w:r>
          </w:p>
        </w:tc>
        <w:tc>
          <w:tcPr>
            <w:tcW w:type="dxa" w:w="1728"/>
          </w:tcPr>
          <w:p>
            <w:r>
              <w:t>$21,420,873,549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repayment_capa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'Weak' carries the highest real default rate (8.70%); 'Strongest' the lowest (7.20%) — a real, data-derived quintile split, no invented cutoffs.</w:t>
      </w:r>
    </w:p>
    <w:p>
      <w:r>
        <w:rPr>
          <w:i/>
          <w:color w:val="595959"/>
        </w:rPr>
        <w:t>Chi-square test: chi2=117.19, p=2.132e-24, Cramer's V=0.0195 (95% bootstrap CI [0.0166, 0.0232]) — a statistically significant, robust association between repayment-capacity tier and real default.</w:t>
      </w:r>
    </w:p>
    <w:p>
      <w:r>
        <w:rPr>
          <w:i/>
          <w:color w:val="595959"/>
        </w:rPr>
        <w:t>Switch the view above to see the same 5 tiers by real applicant count instead of real default rate.</w:t>
      </w:r>
    </w:p>
    <w:p>
      <w:pPr>
        <w:pStyle w:val="Heading1"/>
      </w:pPr>
      <w:r>
        <w:rPr>
          <w:color w:val="1BAF7A"/>
        </w:rPr>
        <w:t>Cross-Validation Against Notebook 01's Real PD Model (LightGBM)</w:t>
      </w:r>
    </w:p>
    <w:p>
      <w:r>
        <w:t>Real Pearson r(REPAYMENT_CAPACITY_RATIO, PD) = -0.0217; r(TOTAL_DEBT_BURDEN_RATIO, PD) = 0.0222.</w:t>
      </w:r>
    </w:p>
    <w:p>
      <w:r>
        <w:t>Association between REPAYMENT_TIER and PD_RISK_BAND: Cramer's V=0.0267 (chi2=875.00, p=6.142e-176).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PD Risk Band</w:t>
            </w:r>
          </w:p>
        </w:tc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Applicants</w:t>
            </w:r>
          </w:p>
        </w:tc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Mean PD</w:t>
            </w:r>
          </w:p>
        </w:tc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Mean Capacity Ratio</w:t>
            </w:r>
          </w:p>
        </w:tc>
        <w:tc>
          <w:tcPr>
            <w:tcW w:type="dxa" w:w="1440"/>
            <w:shd w:fill="1baf7a"/>
          </w:tcPr>
          <w:p>
            <w:r>
              <w:rPr>
                <w:b/>
                <w:color w:val="FFFFFF"/>
              </w:rPr>
              <w:t>Mean Debt Burden Ratio</w:t>
            </w:r>
          </w:p>
        </w:tc>
      </w:tr>
      <w:tr>
        <w:tc>
          <w:tcPr>
            <w:tcW w:type="dxa" w:w="1440"/>
          </w:tcPr>
          <w:p>
            <w:r>
              <w:t>Lowest Risk</w:t>
            </w:r>
          </w:p>
        </w:tc>
        <w:tc>
          <w:tcPr>
            <w:tcW w:type="dxa" w:w="1440"/>
          </w:tcPr>
          <w:p>
            <w:r>
              <w:t>61500</w:t>
            </w:r>
          </w:p>
        </w:tc>
        <w:tc>
          <w:tcPr>
            <w:tcW w:type="dxa" w:w="1440"/>
          </w:tcPr>
          <w:p>
            <w:r>
              <w:t>0.0157</w:t>
            </w:r>
          </w:p>
        </w:tc>
        <w:tc>
          <w:tcPr>
            <w:tcW w:type="dxa" w:w="1440"/>
          </w:tcPr>
          <w:p>
            <w:r>
              <w:t>0.0080</w:t>
            </w:r>
          </w:p>
        </w:tc>
        <w:tc>
          <w:tcPr>
            <w:tcW w:type="dxa" w:w="1440"/>
          </w:tcPr>
          <w:p>
            <w:r>
              <w:t>7.70</w:t>
            </w:r>
          </w:p>
        </w:tc>
        <w:tc>
          <w:tcPr>
            <w:tcW w:type="dxa" w:w="1440"/>
          </w:tcPr>
          <w:p>
            <w:r>
              <w:t>6.51</w:t>
            </w:r>
          </w:p>
        </w:tc>
      </w:tr>
      <w:tr>
        <w:tc>
          <w:tcPr>
            <w:tcW w:type="dxa" w:w="1440"/>
          </w:tcPr>
          <w:p>
            <w:r>
              <w:t>Low Risk</w:t>
            </w:r>
          </w:p>
        </w:tc>
        <w:tc>
          <w:tcPr>
            <w:tcW w:type="dxa" w:w="1440"/>
          </w:tcPr>
          <w:p>
            <w:r>
              <w:t>61500</w:t>
            </w:r>
          </w:p>
        </w:tc>
        <w:tc>
          <w:tcPr>
            <w:tcW w:type="dxa" w:w="1440"/>
          </w:tcPr>
          <w:p>
            <w:r>
              <w:t>0.0304</w:t>
            </w:r>
          </w:p>
        </w:tc>
        <w:tc>
          <w:tcPr>
            <w:tcW w:type="dxa" w:w="1440"/>
          </w:tcPr>
          <w:p>
            <w:r>
              <w:t>0.0208</w:t>
            </w:r>
          </w:p>
        </w:tc>
        <w:tc>
          <w:tcPr>
            <w:tcW w:type="dxa" w:w="1440"/>
          </w:tcPr>
          <w:p>
            <w:r>
              <w:t>7.38</w:t>
            </w:r>
          </w:p>
        </w:tc>
        <w:tc>
          <w:tcPr>
            <w:tcW w:type="dxa" w:w="1440"/>
          </w:tcPr>
          <w:p>
            <w:r>
              <w:t>7.04</w:t>
            </w:r>
          </w:p>
        </w:tc>
      </w:tr>
      <w:tr>
        <w:tc>
          <w:tcPr>
            <w:tcW w:type="dxa" w:w="1440"/>
          </w:tcPr>
          <w:p>
            <w:r>
              <w:t>Moderate Risk</w:t>
            </w:r>
          </w:p>
        </w:tc>
        <w:tc>
          <w:tcPr>
            <w:tcW w:type="dxa" w:w="1440"/>
          </w:tcPr>
          <w:p>
            <w:r>
              <w:t>61500</w:t>
            </w:r>
          </w:p>
        </w:tc>
        <w:tc>
          <w:tcPr>
            <w:tcW w:type="dxa" w:w="1440"/>
          </w:tcPr>
          <w:p>
            <w:r>
              <w:t>0.0501</w:t>
            </w:r>
          </w:p>
        </w:tc>
        <w:tc>
          <w:tcPr>
            <w:tcW w:type="dxa" w:w="1440"/>
          </w:tcPr>
          <w:p>
            <w:r>
              <w:t>0.0416</w:t>
            </w:r>
          </w:p>
        </w:tc>
        <w:tc>
          <w:tcPr>
            <w:tcW w:type="dxa" w:w="1440"/>
          </w:tcPr>
          <w:p>
            <w:r>
              <w:t>7.37</w:t>
            </w:r>
          </w:p>
        </w:tc>
        <w:tc>
          <w:tcPr>
            <w:tcW w:type="dxa" w:w="1440"/>
          </w:tcPr>
          <w:p>
            <w:r>
              <w:t>7.18</w:t>
            </w:r>
          </w:p>
        </w:tc>
      </w:tr>
      <w:tr>
        <w:tc>
          <w:tcPr>
            <w:tcW w:type="dxa" w:w="1440"/>
          </w:tcPr>
          <w:p>
            <w:r>
              <w:t>High Risk</w:t>
            </w:r>
          </w:p>
        </w:tc>
        <w:tc>
          <w:tcPr>
            <w:tcW w:type="dxa" w:w="1440"/>
          </w:tcPr>
          <w:p>
            <w:r>
              <w:t>61500</w:t>
            </w:r>
          </w:p>
        </w:tc>
        <w:tc>
          <w:tcPr>
            <w:tcW w:type="dxa" w:w="1440"/>
          </w:tcPr>
          <w:p>
            <w:r>
              <w:t>0.0868</w:t>
            </w:r>
          </w:p>
        </w:tc>
        <w:tc>
          <w:tcPr>
            <w:tcW w:type="dxa" w:w="1440"/>
          </w:tcPr>
          <w:p>
            <w:r>
              <w:t>0.0832</w:t>
            </w:r>
          </w:p>
        </w:tc>
        <w:tc>
          <w:tcPr>
            <w:tcW w:type="dxa" w:w="1440"/>
          </w:tcPr>
          <w:p>
            <w:r>
              <w:t>7.31</w:t>
            </w:r>
          </w:p>
        </w:tc>
        <w:tc>
          <w:tcPr>
            <w:tcW w:type="dxa" w:w="1440"/>
          </w:tcPr>
          <w:p>
            <w:r>
              <w:t>7.21</w:t>
            </w:r>
          </w:p>
        </w:tc>
      </w:tr>
      <w:tr>
        <w:tc>
          <w:tcPr>
            <w:tcW w:type="dxa" w:w="1440"/>
          </w:tcPr>
          <w:p>
            <w:r>
              <w:t>Highest Risk</w:t>
            </w:r>
          </w:p>
        </w:tc>
        <w:tc>
          <w:tcPr>
            <w:tcW w:type="dxa" w:w="1440"/>
          </w:tcPr>
          <w:p>
            <w:r>
              <w:t>61499</w:t>
            </w:r>
          </w:p>
        </w:tc>
        <w:tc>
          <w:tcPr>
            <w:tcW w:type="dxa" w:w="1440"/>
          </w:tcPr>
          <w:p>
            <w:r>
              <w:t>0.2206</w:t>
            </w:r>
          </w:p>
        </w:tc>
        <w:tc>
          <w:tcPr>
            <w:tcW w:type="dxa" w:w="1440"/>
          </w:tcPr>
          <w:p>
            <w:r>
              <w:t>0.2500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7.26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pd_cross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Cross-validated this notebook's real, data-derived repayment-capacity tiers against Notebook 01's independently-trained real default-risk model (LightGBM) — both computed from the same real 307,499-applicant population, neither derived from the other.</w:t>
      </w:r>
    </w:p>
    <w:p>
      <w:r>
        <w:rPr>
          <w:i/>
          <w:color w:val="595959"/>
        </w:rPr>
        <w:t>Real Pearson r(REPAYMENT_CAPACITY_RATIO, Notebook 01 PD) = -0.0217; r(TOTAL_DEBT_BURDEN_RATIO, Notebook 01 PD) = 0.0222.</w:t>
      </w:r>
    </w:p>
    <w:p>
      <w:r>
        <w:rPr>
          <w:i/>
          <w:color w:val="595959"/>
        </w:rPr>
        <w:t>Association between the two independent risk measures: Cramer's V=0.0267 (chi2=875.00, p=6.142e-176) — the two show only partial agreement, worth further investigation.</w:t>
      </w:r>
    </w:p>
    <w:p>
      <w:pPr>
        <w:pStyle w:val="Heading1"/>
      </w:pPr>
      <w:r>
        <w:rPr>
          <w:color w:val="EDA100"/>
        </w:rPr>
        <w:t>Statistical Validation &amp; Robustness (SOP Stage 4)</w:t>
      </w:r>
    </w:p>
    <w:p>
      <w:r>
        <w:t>Bootstrap 95% CI on Cramer's V (500 resamples): [0.0166, 0.0232].</w:t>
      </w:r>
    </w:p>
    <w:p>
      <w:r>
        <w:t>Split-half PSI on the REPAYMENT_CAPACITY_RATIO distribution: 0.0001 (threshold: &lt;0.1).</w:t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Real REPAYMENT_CAPACITY_RATIO (income coverage multiple) averages 7.35x across 307,499 real applicants (median 6.14x), clipped at the 99th percentile for display only.</w:t>
      </w:r>
    </w:p>
    <w:p>
      <w:r>
        <w:rPr>
          <w:i/>
          <w:color w:val="595959"/>
        </w:rPr>
        <w:t>Real TOTAL_DEBT_BURDEN_RATIO (existing bureau debt + requested credit, relative to income) averages 7.04x.</w:t>
      </w:r>
    </w:p>
    <w:p>
      <w:r>
        <w:rPr>
          <w:i/>
          <w:color w:val="595959"/>
        </w:rPr>
        <w:t>Statistical robustness verdict: STATISTICALLY ROBUST — RECOMMENDED FOR PRODUCTION.</w:t>
      </w:r>
    </w:p>
    <w:p>
      <w:pPr>
        <w:pStyle w:val="Heading1"/>
      </w:pPr>
      <w:r>
        <w:rPr>
          <w:color w:val="E87BA4"/>
        </w:rPr>
        <w:t>External Regulatory Benchmark (CFPB 43% DTI, informational only)</w:t>
      </w:r>
    </w:p>
    <w:p>
      <w:r>
        <w:t>5,550 / 307,499 applicants (1.80%) exceed the CFPB Ability-to-Repay / Qualified Mortgage 43% DTI threshold (12 CFR 1026.43) — an external regulatory reference, never blended into the real internal tiers above.</w:t>
      </w:r>
    </w:p>
    <w:p>
      <w:r>
        <w:t>Real default rate above benchmark: 0.0834 vs. below: 0.0807.</w:t>
      </w:r>
    </w:p>
    <w:p>
      <w:pPr>
        <w:pStyle w:val="Heading1"/>
      </w:pPr>
      <w:r>
        <w:rPr>
          <w:color w:val="008300"/>
        </w:rPr>
        <w:t>Integrity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fill="008300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real_data_loaded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required_columns_present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tier_count_correct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contingency_row_count_matches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chi2_pvalue_in_bounds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no_infinite_ratios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ratio_undefined_population_excluded_not_silently_kept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target_not_used_as_feature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bootstrap_ci_computed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cpu_thread_ceiling_applied_before_import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pd_from_nb01_in_bounds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pd_risk_band_count_correct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pd_cross_chi2_pvalue_in_bounds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