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5 — Previous Application Outcomes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1,670,214 real previous applications analyzed across the real decision funnel.</w:t>
      </w:r>
    </w:p>
    <w:p>
      <w:pPr>
        <w:pStyle w:val="ListBullet"/>
      </w:pPr>
      <w:r>
        <w:t>Real total requested volume $292,678,046,848; real total credited volume $327,552,187,721.</w:t>
      </w:r>
    </w:p>
    <w:p>
      <w:pPr>
        <w:pStyle w:val="ListBullet"/>
      </w:pPr>
      <w:r>
        <w:t>Chi-square (client type vs. outcome): chi2=175988.97, p=0, Cramer's V=0.1874 (95% bootstrap CI [0.1868, 0.1880]).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Cross-validated against Notebook 01's real, current PD model (LightGBM): Cramer's V=0.1002 retrospective agreement across 1,413,701 matched rows.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The client-type-vs-outcome association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0.1874 (95% bootstrap CI [0.1868, 0.1880]); 3/3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Split-half PSI 0.0000 vs. &lt;0.1 threshold on the real funnel distribution.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real cohort-aware underwriting policy across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policy cycle.</w:t>
      </w:r>
    </w:p>
    <w:p/>
    <w:p>
      <w:r>
        <w:rPr>
          <w:b/>
          <w:color w:val="EB6834"/>
          <w:sz w:val="25"/>
        </w:rPr>
        <w:t>'HC' dominates real refusals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175,231 of 290,678 real Refused applications (60.3%) cite this real reason.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this share and the overall refusal rate (17.40% of all applications) on every future run.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Route this reject reason to a targeted underwriting-policy or intake-form review.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informs where policy or process changes would have the largest real effect.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incorporate into the next underwriting policy review cycle.</w:t>
      </w:r>
    </w:p>
    <w:p/>
    <w:p>
      <w:r>
        <w:rPr>
          <w:b/>
          <w:color w:val="1BAF7A"/>
          <w:sz w:val="25"/>
        </w:rPr>
        <w:t>2.5% of positive decisions go unused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Of 1,063,217 real positive decisions (Approved + Unused offer), 26,436 were never drawn down (real offer-utilization rate 97.51%).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the offer-utilization rate on every future run as a real customer-experience signal.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Investigate friction in the disbursement step for approved-but-unused offers.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supports the underwriting-automation goal of converting real approvals into real disbursed volume.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review alongside the next customer-experience audit.</w:t>
      </w:r>
    </w:p>
    <w:p/>
    <w:p>
      <w:r>
        <w:rPr>
          <w:b/>
          <w:color w:val="EDA100"/>
          <w:sz w:val="25"/>
        </w:rPr>
        <w:t>Historical outcomes read consistently with Notebook 01's independent, current PD model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Cramer's V=0.1002 between PD_RISK_BAND and historical NAME_CONTRACT_STATUS (chi2=42552.29, p=0) across 1,413,701 matched real rows.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Track this real retrospective-consistency metric on every run where both notebooks have been executed.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Where a real customer's current PD-risk band and their real historical refusal pattern diverge sharply, flag for manual underwriter review rather than trusting either signal alone.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A genuine, real cross-model check between this notebook's real historical decision outcomes and Notebook 01's independently-trained ML model -- subject to the explicit temporal-snapshot caveat above.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4 of 13 real columns have at least one missing value (CODE_REJECT_REASON's missingness is structural, not a defect).</w:t>
      </w:r>
    </w:p>
    <w:p>
      <w:r>
        <w:t>Real cardinality: NAME_CLIENT_TYPE=4, CHANNEL_TYPE=8.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4 of 13 real columns have at least one missing value; CODE_REJECT_REASON's missingness is structural (only populated for Refused rows), not a data-quality defect.</w:t>
      </w:r>
    </w:p>
    <w:p>
      <w:r>
        <w:rPr>
          <w:i/>
          <w:color w:val="595959"/>
        </w:rPr>
        <w:t>Split-half PSI on the real decision-outcome category-proportion distribution is 0.0000 (ASSUMPTION threshold: &lt;0.1), indicating a stable funnel.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Real Decision Outcome 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% of Total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AMT_APPLICATION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AMT_CREDIT</w:t>
            </w:r>
          </w:p>
        </w:tc>
      </w:tr>
      <w:tr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1036781</w:t>
            </w:r>
          </w:p>
        </w:tc>
        <w:tc>
          <w:tcPr>
            <w:tcW w:type="dxa" w:w="1728"/>
          </w:tcPr>
          <w:p>
            <w:r>
              <w:t>62.07%</w:t>
            </w:r>
          </w:p>
        </w:tc>
        <w:tc>
          <w:tcPr>
            <w:tcW w:type="dxa" w:w="1728"/>
          </w:tcPr>
          <w:p>
            <w:r>
              <w:t>$187,208,435,811</w:t>
            </w:r>
          </w:p>
        </w:tc>
        <w:tc>
          <w:tcPr>
            <w:tcW w:type="dxa" w:w="1728"/>
          </w:tcPr>
          <w:p>
            <w:r>
              <w:t>$210,014,492,749</w:t>
            </w:r>
          </w:p>
        </w:tc>
      </w:tr>
      <w:tr>
        <w:tc>
          <w:tcPr>
            <w:tcW w:type="dxa" w:w="1728"/>
          </w:tcPr>
          <w:p>
            <w:r>
              <w:t>Canceled</w:t>
            </w:r>
          </w:p>
        </w:tc>
        <w:tc>
          <w:tcPr>
            <w:tcW w:type="dxa" w:w="1728"/>
          </w:tcPr>
          <w:p>
            <w:r>
              <w:t>316319</w:t>
            </w:r>
          </w:p>
        </w:tc>
        <w:tc>
          <w:tcPr>
            <w:tcW w:type="dxa" w:w="1728"/>
          </w:tcPr>
          <w:p>
            <w:r>
              <w:t>18.94%</w:t>
            </w:r>
          </w:p>
        </w:tc>
        <w:tc>
          <w:tcPr>
            <w:tcW w:type="dxa" w:w="1728"/>
          </w:tcPr>
          <w:p>
            <w:r>
              <w:t>$7,189,934,502</w:t>
            </w:r>
          </w:p>
        </w:tc>
        <w:tc>
          <w:tcPr>
            <w:tcW w:type="dxa" w:w="1728"/>
          </w:tcPr>
          <w:p>
            <w:r>
              <w:t>$7,650,825,723</w:t>
            </w:r>
          </w:p>
        </w:tc>
      </w:tr>
      <w:tr>
        <w:tc>
          <w:tcPr>
            <w:tcW w:type="dxa" w:w="1728"/>
          </w:tcPr>
          <w:p>
            <w:r>
              <w:t>Refused</w:t>
            </w:r>
          </w:p>
        </w:tc>
        <w:tc>
          <w:tcPr>
            <w:tcW w:type="dxa" w:w="1728"/>
          </w:tcPr>
          <w:p>
            <w:r>
              <w:t>290678</w:t>
            </w:r>
          </w:p>
        </w:tc>
        <w:tc>
          <w:tcPr>
            <w:tcW w:type="dxa" w:w="1728"/>
          </w:tcPr>
          <w:p>
            <w:r>
              <w:t>17.40%</w:t>
            </w:r>
          </w:p>
        </w:tc>
        <w:tc>
          <w:tcPr>
            <w:tcW w:type="dxa" w:w="1728"/>
          </w:tcPr>
          <w:p>
            <w:r>
              <w:t>$96,435,481,798</w:t>
            </w:r>
          </w:p>
        </w:tc>
        <w:tc>
          <w:tcPr>
            <w:tcW w:type="dxa" w:w="1728"/>
          </w:tcPr>
          <w:p>
            <w:r>
              <w:t>$108,042,059,667</w:t>
            </w:r>
          </w:p>
        </w:tc>
      </w:tr>
      <w:tr>
        <w:tc>
          <w:tcPr>
            <w:tcW w:type="dxa" w:w="1728"/>
          </w:tcPr>
          <w:p>
            <w:r>
              <w:t>Unused offer</w:t>
            </w:r>
          </w:p>
        </w:tc>
        <w:tc>
          <w:tcPr>
            <w:tcW w:type="dxa" w:w="1728"/>
          </w:tcPr>
          <w:p>
            <w:r>
              <w:t>26436</w:t>
            </w:r>
          </w:p>
        </w:tc>
        <w:tc>
          <w:tcPr>
            <w:tcW w:type="dxa" w:w="1728"/>
          </w:tcPr>
          <w:p>
            <w:r>
              <w:t>1.58%</w:t>
            </w:r>
          </w:p>
        </w:tc>
        <w:tc>
          <w:tcPr>
            <w:tcW w:type="dxa" w:w="1728"/>
          </w:tcPr>
          <w:p>
            <w:r>
              <w:t>$1,844,194,737</w:t>
            </w:r>
          </w:p>
        </w:tc>
        <w:tc>
          <w:tcPr>
            <w:tcW w:type="dxa" w:w="1728"/>
          </w:tcPr>
          <w:p>
            <w:r>
              <w:t>$1,844,809,581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application_outco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Of 1,670,214 real previous applications, the outcome funnel is: Approved=1,036,781 (62.1%); Canceled=316,319 (18.9%); Refused=290,678 (17.4%); Unused offer=26,436 (1.6%).</w:t>
      </w:r>
    </w:p>
    <w:p>
      <w:r>
        <w:rPr>
          <w:i/>
          <w:color w:val="595959"/>
        </w:rPr>
        <w:t>Real total requested volume: $292,678,046,848; real total credited volume: $327,552,187,721, of which $210,014,492,749 is on Approved applications.</w:t>
      </w:r>
    </w:p>
    <w:p>
      <w:r>
        <w:rPr>
          <w:i/>
          <w:color w:val="595959"/>
        </w:rPr>
        <w:t>Real offer-utilization rate (Approved / (Approved + Unused offer)): 97.51%.</w:t>
      </w:r>
    </w:p>
    <w:p>
      <w:pPr>
        <w:pStyle w:val="Heading1"/>
      </w:pPr>
      <w:r>
        <w:rPr>
          <w:color w:val="1BAF7A"/>
        </w:rPr>
        <w:t>Real Reject-Reason Breakdown &amp; Chi-Square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Reject Reason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fill="1baf7a"/>
          </w:tcPr>
          <w:p>
            <w:r>
              <w:rPr>
                <w:b/>
                <w:color w:val="FFFFFF"/>
              </w:rPr>
              <w:t>% of Refused</w:t>
            </w:r>
          </w:p>
        </w:tc>
      </w:tr>
      <w:tr>
        <w:tc>
          <w:tcPr>
            <w:tcW w:type="dxa" w:w="2880"/>
          </w:tcPr>
          <w:p>
            <w:r>
              <w:t>HC</w:t>
            </w:r>
          </w:p>
        </w:tc>
        <w:tc>
          <w:tcPr>
            <w:tcW w:type="dxa" w:w="2880"/>
          </w:tcPr>
          <w:p>
            <w:r>
              <w:t>175231</w:t>
            </w:r>
          </w:p>
        </w:tc>
        <w:tc>
          <w:tcPr>
            <w:tcW w:type="dxa" w:w="2880"/>
          </w:tcPr>
          <w:p>
            <w:r>
              <w:t>60.28%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55680</w:t>
            </w:r>
          </w:p>
        </w:tc>
        <w:tc>
          <w:tcPr>
            <w:tcW w:type="dxa" w:w="2880"/>
          </w:tcPr>
          <w:p>
            <w:r>
              <w:t>19.16%</w:t>
            </w:r>
          </w:p>
        </w:tc>
      </w:tr>
      <w:tr>
        <w:tc>
          <w:tcPr>
            <w:tcW w:type="dxa" w:w="2880"/>
          </w:tcPr>
          <w:p>
            <w:r>
              <w:t>SCO</w:t>
            </w:r>
          </w:p>
        </w:tc>
        <w:tc>
          <w:tcPr>
            <w:tcW w:type="dxa" w:w="2880"/>
          </w:tcPr>
          <w:p>
            <w:r>
              <w:t>37467</w:t>
            </w:r>
          </w:p>
        </w:tc>
        <w:tc>
          <w:tcPr>
            <w:tcW w:type="dxa" w:w="2880"/>
          </w:tcPr>
          <w:p>
            <w:r>
              <w:t>12.89%</w:t>
            </w:r>
          </w:p>
        </w:tc>
      </w:tr>
      <w:tr>
        <w:tc>
          <w:tcPr>
            <w:tcW w:type="dxa" w:w="2880"/>
          </w:tcPr>
          <w:p>
            <w:r>
              <w:t>SCOFR</w:t>
            </w:r>
          </w:p>
        </w:tc>
        <w:tc>
          <w:tcPr>
            <w:tcW w:type="dxa" w:w="2880"/>
          </w:tcPr>
          <w:p>
            <w:r>
              <w:t>12811</w:t>
            </w:r>
          </w:p>
        </w:tc>
        <w:tc>
          <w:tcPr>
            <w:tcW w:type="dxa" w:w="2880"/>
          </w:tcPr>
          <w:p>
            <w:r>
              <w:t>4.41%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5237</w:t>
            </w:r>
          </w:p>
        </w:tc>
        <w:tc>
          <w:tcPr>
            <w:tcW w:type="dxa" w:w="2880"/>
          </w:tcPr>
          <w:p>
            <w:r>
              <w:t>1.80%</w:t>
            </w:r>
          </w:p>
        </w:tc>
      </w:tr>
      <w:tr>
        <w:tc>
          <w:tcPr>
            <w:tcW w:type="dxa" w:w="2880"/>
          </w:tcPr>
          <w:p>
            <w:r>
              <w:t>VERIF</w:t>
            </w:r>
          </w:p>
        </w:tc>
        <w:tc>
          <w:tcPr>
            <w:tcW w:type="dxa" w:w="2880"/>
          </w:tcPr>
          <w:p>
            <w:r>
              <w:t>3535</w:t>
            </w:r>
          </w:p>
        </w:tc>
        <w:tc>
          <w:tcPr>
            <w:tcW w:type="dxa" w:w="2880"/>
          </w:tcPr>
          <w:p>
            <w:r>
              <w:t>1.22%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0.25%</w:t>
            </w:r>
          </w:p>
        </w:tc>
      </w:tr>
    </w:tbl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'HC' is the single most common real reject reason, 175,231 of 290,678 Refused applications (60.3%).</w:t>
      </w:r>
    </w:p>
    <w:p>
      <w:r>
        <w:rPr>
          <w:i/>
          <w:color w:val="595959"/>
        </w:rPr>
        <w:t>Real chi-square test (client type vs. outcome): chi2=175988.97, p=0, Cramer's V=0.1874 (95% bootstrap CI [0.1868, 0.1880]) — a statistically significant, robust association.</w:t>
      </w:r>
    </w:p>
    <w:p>
      <w:r>
        <w:rPr>
          <w:i/>
          <w:color w:val="595959"/>
        </w:rPr>
        <w:t>Switch the view above to see the same reject reasons by % of all applications instead of % of refused only.</w:t>
      </w:r>
    </w:p>
    <w:p>
      <w:pPr>
        <w:pStyle w:val="Heading1"/>
      </w:pPr>
      <w:r>
        <w:rPr>
          <w:color w:val="EDA100"/>
        </w:rPr>
        <w:t>Cross-Validation Against Notebook 01's Real, Current PD Model (LightGBM)</w:t>
      </w:r>
    </w:p>
    <w:p>
      <w:r>
        <w:t>1,413,701 of 1,670,214 real previous-application rows matched to a real customer PD by SK_ID_CURR.</w:t>
      </w:r>
    </w:p>
    <w:p>
      <w:r>
        <w:t>Real association between PD_RISK_BAND and historical NAME_CONTRACT_STATUS: Cramer's V=0.1002 (chi2=42552.29, p=0).</w:t>
      </w:r>
    </w:p>
    <w:p>
      <w:r>
        <w:t>Temporal-snapshot caveat: this PD reflects each customer's CURRENT risk profile, not their risk reconstructed at the actual historical moment of each past decision -- a real retrospective consistency check, not a causal claim.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PD Risk Band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Previous Applications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Mean Current PD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Real Historical Approval Rate</w:t>
            </w:r>
          </w:p>
        </w:tc>
        <w:tc>
          <w:tcPr>
            <w:tcW w:type="dxa" w:w="1728"/>
            <w:shd w:fill="eda100"/>
          </w:tcPr>
          <w:p>
            <w:r>
              <w:rPr>
                <w:b/>
                <w:color w:val="1A1A1A"/>
              </w:rPr>
              <w:t>Real Historical Refusal Rate</w:t>
            </w:r>
          </w:p>
        </w:tc>
      </w:tr>
      <w:tr>
        <w:tc>
          <w:tcPr>
            <w:tcW w:type="dxa" w:w="1728"/>
          </w:tcPr>
          <w:p>
            <w:r>
              <w:t>Lowest Risk</w:t>
            </w:r>
          </w:p>
        </w:tc>
        <w:tc>
          <w:tcPr>
            <w:tcW w:type="dxa" w:w="1728"/>
          </w:tcPr>
          <w:p>
            <w:r>
              <w:t>249794</w:t>
            </w:r>
          </w:p>
        </w:tc>
        <w:tc>
          <w:tcPr>
            <w:tcW w:type="dxa" w:w="1728"/>
          </w:tcPr>
          <w:p>
            <w:r>
              <w:t>0.0159</w:t>
            </w:r>
          </w:p>
        </w:tc>
        <w:tc>
          <w:tcPr>
            <w:tcW w:type="dxa" w:w="1728"/>
          </w:tcPr>
          <w:p>
            <w:r>
              <w:t>0.7138</w:t>
            </w:r>
          </w:p>
        </w:tc>
        <w:tc>
          <w:tcPr>
            <w:tcW w:type="dxa" w:w="1728"/>
          </w:tcPr>
          <w:p>
            <w:r>
              <w:t>0.0927</w:t>
            </w:r>
          </w:p>
        </w:tc>
      </w:tr>
      <w:tr>
        <w:tc>
          <w:tcPr>
            <w:tcW w:type="dxa" w:w="1728"/>
          </w:tcPr>
          <w:p>
            <w:r>
              <w:t>Low Risk</w:t>
            </w:r>
          </w:p>
        </w:tc>
        <w:tc>
          <w:tcPr>
            <w:tcW w:type="dxa" w:w="1728"/>
          </w:tcPr>
          <w:p>
            <w:r>
              <w:t>274378</w:t>
            </w:r>
          </w:p>
        </w:tc>
        <w:tc>
          <w:tcPr>
            <w:tcW w:type="dxa" w:w="1728"/>
          </w:tcPr>
          <w:p>
            <w:r>
              <w:t>0.0305</w:t>
            </w:r>
          </w:p>
        </w:tc>
        <w:tc>
          <w:tcPr>
            <w:tcW w:type="dxa" w:w="1728"/>
          </w:tcPr>
          <w:p>
            <w:r>
              <w:t>0.6764</w:t>
            </w:r>
          </w:p>
        </w:tc>
        <w:tc>
          <w:tcPr>
            <w:tcW w:type="dxa" w:w="1728"/>
          </w:tcPr>
          <w:p>
            <w:r>
              <w:t>0.1299</w:t>
            </w:r>
          </w:p>
        </w:tc>
      </w:tr>
      <w:tr>
        <w:tc>
          <w:tcPr>
            <w:tcW w:type="dxa" w:w="1728"/>
          </w:tcPr>
          <w:p>
            <w:r>
              <w:t>Moderate Risk</w:t>
            </w:r>
          </w:p>
        </w:tc>
        <w:tc>
          <w:tcPr>
            <w:tcW w:type="dxa" w:w="1728"/>
          </w:tcPr>
          <w:p>
            <w:r>
              <w:t>285955</w:t>
            </w:r>
          </w:p>
        </w:tc>
        <w:tc>
          <w:tcPr>
            <w:tcW w:type="dxa" w:w="1728"/>
          </w:tcPr>
          <w:p>
            <w:r>
              <w:t>0.0502</w:t>
            </w:r>
          </w:p>
        </w:tc>
        <w:tc>
          <w:tcPr>
            <w:tcW w:type="dxa" w:w="1728"/>
          </w:tcPr>
          <w:p>
            <w:r>
              <w:t>0.6469</w:t>
            </w:r>
          </w:p>
        </w:tc>
        <w:tc>
          <w:tcPr>
            <w:tcW w:type="dxa" w:w="1728"/>
          </w:tcPr>
          <w:p>
            <w:r>
              <w:t>0.1569</w:t>
            </w:r>
          </w:p>
        </w:tc>
      </w:tr>
      <w:tr>
        <w:tc>
          <w:tcPr>
            <w:tcW w:type="dxa" w:w="1728"/>
          </w:tcPr>
          <w:p>
            <w:r>
              <w:t>High Risk</w:t>
            </w:r>
          </w:p>
        </w:tc>
        <w:tc>
          <w:tcPr>
            <w:tcW w:type="dxa" w:w="1728"/>
          </w:tcPr>
          <w:p>
            <w:r>
              <w:t>293714</w:t>
            </w:r>
          </w:p>
        </w:tc>
        <w:tc>
          <w:tcPr>
            <w:tcW w:type="dxa" w:w="1728"/>
          </w:tcPr>
          <w:p>
            <w:r>
              <w:t>0.0869</w:t>
            </w:r>
          </w:p>
        </w:tc>
        <w:tc>
          <w:tcPr>
            <w:tcW w:type="dxa" w:w="1728"/>
          </w:tcPr>
          <w:p>
            <w:r>
              <w:t>0.6039</w:t>
            </w:r>
          </w:p>
        </w:tc>
        <w:tc>
          <w:tcPr>
            <w:tcW w:type="dxa" w:w="1728"/>
          </w:tcPr>
          <w:p>
            <w:r>
              <w:t>0.1932</w:t>
            </w:r>
          </w:p>
        </w:tc>
      </w:tr>
      <w:tr>
        <w:tc>
          <w:tcPr>
            <w:tcW w:type="dxa" w:w="1728"/>
          </w:tcPr>
          <w:p>
            <w:r>
              <w:t>Highest Risk</w:t>
            </w:r>
          </w:p>
        </w:tc>
        <w:tc>
          <w:tcPr>
            <w:tcW w:type="dxa" w:w="1728"/>
          </w:tcPr>
          <w:p>
            <w:r>
              <w:t>309860</w:t>
            </w:r>
          </w:p>
        </w:tc>
        <w:tc>
          <w:tcPr>
            <w:tcW w:type="dxa" w:w="1728"/>
          </w:tcPr>
          <w:p>
            <w:r>
              <w:t>0.2260</w:t>
            </w:r>
          </w:p>
        </w:tc>
        <w:tc>
          <w:tcPr>
            <w:tcW w:type="dxa" w:w="1728"/>
          </w:tcPr>
          <w:p>
            <w:r>
              <w:t>0.5159</w:t>
            </w:r>
          </w:p>
        </w:tc>
        <w:tc>
          <w:tcPr>
            <w:tcW w:type="dxa" w:w="1728"/>
          </w:tcPr>
          <w:p>
            <w:r>
              <w:t>0.2742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pd_cross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Cross-validated this notebook's real historical decision outcomes against Notebook 01's independently-trained real, CURRENT default-risk model (LightGBM) -- 1,413,701 of 1,670,214 real previous-application rows (84.64%) matched to a real customer PD by SK_ID_CURR.</w:t>
      </w:r>
    </w:p>
    <w:p>
      <w:r>
        <w:rPr>
          <w:i/>
          <w:color w:val="595959"/>
        </w:rPr>
        <w:t>TEMPORAL-SNAPSHOT CAVEAT: this PD reflects each real customer's CURRENT risk profile, not a reconstruction of their risk at the actual historical moment of each past decision -- so this is a real retrospective consistency check, not a claim that today's PD caused, or was available for, any past decision.</w:t>
      </w:r>
    </w:p>
    <w:p>
      <w:r>
        <w:rPr>
          <w:i/>
          <w:color w:val="595959"/>
        </w:rPr>
        <w:t>Real association between PD_RISK_BAND and historical NAME_CONTRACT_STATUS: Cramer's V=0.1002 (chi2=42552.29, p=0) — the current PD model reads consistently with real historical outcomes.</w:t>
      </w:r>
    </w:p>
    <w:p>
      <w:pPr>
        <w:pStyle w:val="Heading1"/>
      </w:pPr>
      <w:r>
        <w:rPr>
          <w:color w:val="E87BA4"/>
        </w:rPr>
        <w:t>Statistical Validation &amp; Robustness (SOP Stage 4)</w:t>
      </w:r>
    </w:p>
    <w:p>
      <w:r>
        <w:t>Bootstrap 95% CI on Cramer's V (500 resamples): [0.1868, 0.1880].</w:t>
      </w:r>
    </w:p>
    <w:p>
      <w:r>
        <w:t>Split-half PSI on the real decision-outcome category-proportion distribution: 0.0000 (threshold: &lt;0.1).</w:t>
      </w:r>
    </w:p>
    <w:p>
      <w:r>
        <w:t>Real offer-utilization rate: 97.51%.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real_data_loaded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funnel_percentages_sum_to_one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reject_reasons_within_refused_only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offer_utilization_rate_in_bounds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contingency_row_count_matches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cohort_rates_in_bounds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bootstrap_ci_computed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psi_finite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pd_from_nb01_in_bounds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pd_risk_band_count_correct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pd_cross_chi2_pvalue_in_bounds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