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2 — Notebook 01: Expected Loss &amp; Capital Requirement</w:t>
      </w:r>
    </w:p>
    <w:p>
      <w:pPr>
        <w:jc w:val="center"/>
      </w:pPr>
      <w:r>
        <w:rPr>
          <w:i/>
          <w:color w:val="595959"/>
          <w:sz w:val="22"/>
        </w:rPr>
        <w:t>Real PD (Mega Project 1 champion model) x Documented Basel Retail-IRB LGD/EAD/Correlation Assumptions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307,511 real applicants scored for real probability of default via Mega Project 1's trained champion model (LightGBM).</w:t>
      </w:r>
    </w:p>
    <w:p>
      <w:pPr>
        <w:pStyle w:val="ListBullet"/>
      </w:pPr>
      <w:r>
        <w:t>Real total EAD proxy (AMT_CREDIT): $184,207,084,196.</w:t>
      </w:r>
    </w:p>
    <w:p>
      <w:pPr>
        <w:pStyle w:val="ListBullet"/>
      </w:pPr>
      <w:r>
        <w:t>Real-PD x documented-LGD Expected Loss: $3,917,645,733 (2.13% of EAD).</w:t>
      </w:r>
    </w:p>
    <w:p>
      <w:pPr>
        <w:pStyle w:val="ListBullet"/>
      </w:pPr>
      <w:r>
        <w:t>Basel retail-IRB capital requirement: $9,756,908,313 (5.30% of EAD).</w:t>
      </w:r>
    </w:p>
    <w:p>
      <w:pPr>
        <w:pStyle w:val="ListBullet"/>
      </w:pPr>
      <w:r>
        <w:t>Statistical robustness verdict: STATISTICALLY ROBUST — RECOMMENDED FOR PRODUCTION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Real-PD-based capital estimate meets the statistical-robustness bar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Chi-square p=0, Cramer's V 0.3754 (95% bootstrap CI [0.3698, 0.3810]); 5/5 validation checks PASS.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Total real EAD proxy $184,207,084,196; Expected Loss $3,917,645,733 (2.13%); Basel retail-IRB capital requirement $9,756,908,313 (5.30%).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No further tuning required this cycle.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Directly informs Mega Project 2's downstream RWA analytics, economic-capital, stress-testing, and concentration notebooks, which all reuse this notebook's real per-applicant PD/EL/capital output rather than recomputing it.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Re-run after any Notebook 01 (MP1) retrain, or any LGD/correlation assumption update.</w:t>
      </w:r>
    </w:p>
    <w:p/>
    <w:p>
      <w:pPr>
        <w:pStyle w:val="Heading1"/>
      </w:pPr>
      <w:r>
        <w:rPr>
          <w:color w:val="2A78D6"/>
        </w:rPr>
        <w:t>Expected Loss by PD Risk Band</w:t>
      </w:r>
    </w:p>
    <w:p>
      <w:r>
        <w:t>Real Expected Loss rate and real default rate, both computed per PD risk band (5-band convention shared across this suite).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PD Risk Band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N Applicants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Real Default Rate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EL Rate of EAD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Capital Rate of EAD</w:t>
            </w:r>
          </w:p>
        </w:tc>
      </w:tr>
      <w:tr>
        <w:tc>
          <w:tcPr>
            <w:tcW w:type="dxa" w:w="1728"/>
          </w:tcPr>
          <w:p>
            <w:r>
              <w:t>Lowest Risk</w:t>
            </w:r>
          </w:p>
        </w:tc>
        <w:tc>
          <w:tcPr>
            <w:tcW w:type="dxa" w:w="1728"/>
          </w:tcPr>
          <w:p>
            <w:r>
              <w:t>154,958</w:t>
            </w:r>
          </w:p>
        </w:tc>
        <w:tc>
          <w:tcPr>
            <w:tcW w:type="dxa" w:w="1728"/>
          </w:tcPr>
          <w:p>
            <w:r>
              <w:t>1.86%</w:t>
            </w:r>
          </w:p>
        </w:tc>
        <w:tc>
          <w:tcPr>
            <w:tcW w:type="dxa" w:w="1728"/>
          </w:tcPr>
          <w:p>
            <w:r>
              <w:t>0.79%</w:t>
            </w:r>
          </w:p>
        </w:tc>
        <w:tc>
          <w:tcPr>
            <w:tcW w:type="dxa" w:w="1728"/>
          </w:tcPr>
          <w:p>
            <w:r>
              <w:t>3.86%</w:t>
            </w:r>
          </w:p>
        </w:tc>
      </w:tr>
      <w:tr>
        <w:tc>
          <w:tcPr>
            <w:tcW w:type="dxa" w:w="1728"/>
          </w:tcPr>
          <w:p>
            <w:r>
              <w:t>Low Risk</w:t>
            </w:r>
          </w:p>
        </w:tc>
        <w:tc>
          <w:tcPr>
            <w:tcW w:type="dxa" w:w="1728"/>
          </w:tcPr>
          <w:p>
            <w:r>
              <w:t>76,559</w:t>
            </w:r>
          </w:p>
        </w:tc>
        <w:tc>
          <w:tcPr>
            <w:tcW w:type="dxa" w:w="1728"/>
          </w:tcPr>
          <w:p>
            <w:r>
              <w:t>6.52%</w:t>
            </w:r>
          </w:p>
        </w:tc>
        <w:tc>
          <w:tcPr>
            <w:tcW w:type="dxa" w:w="1728"/>
          </w:tcPr>
          <w:p>
            <w:r>
              <w:t>2.01%</w:t>
            </w:r>
          </w:p>
        </w:tc>
        <w:tc>
          <w:tcPr>
            <w:tcW w:type="dxa" w:w="1728"/>
          </w:tcPr>
          <w:p>
            <w:r>
              <w:t>5.92%</w:t>
            </w:r>
          </w:p>
        </w:tc>
      </w:tr>
      <w:tr>
        <w:tc>
          <w:tcPr>
            <w:tcW w:type="dxa" w:w="1728"/>
          </w:tcPr>
          <w:p>
            <w:r>
              <w:t>Moderate Risk</w:t>
            </w:r>
          </w:p>
        </w:tc>
        <w:tc>
          <w:tcPr>
            <w:tcW w:type="dxa" w:w="1728"/>
          </w:tcPr>
          <w:p>
            <w:r>
              <w:t>49,270</w:t>
            </w:r>
          </w:p>
        </w:tc>
        <w:tc>
          <w:tcPr>
            <w:tcW w:type="dxa" w:w="1728"/>
          </w:tcPr>
          <w:p>
            <w:r>
              <w:t>15.01%</w:t>
            </w:r>
          </w:p>
        </w:tc>
        <w:tc>
          <w:tcPr>
            <w:tcW w:type="dxa" w:w="1728"/>
          </w:tcPr>
          <w:p>
            <w:r>
              <w:t>3.95%</w:t>
            </w:r>
          </w:p>
        </w:tc>
        <w:tc>
          <w:tcPr>
            <w:tcW w:type="dxa" w:w="1728"/>
          </w:tcPr>
          <w:p>
            <w:r>
              <w:t>7.64%</w:t>
            </w:r>
          </w:p>
        </w:tc>
      </w:tr>
      <w:tr>
        <w:tc>
          <w:tcPr>
            <w:tcW w:type="dxa" w:w="1728"/>
          </w:tcPr>
          <w:p>
            <w:r>
              <w:t>High Risk</w:t>
            </w:r>
          </w:p>
        </w:tc>
        <w:tc>
          <w:tcPr>
            <w:tcW w:type="dxa" w:w="1728"/>
          </w:tcPr>
          <w:p>
            <w:r>
              <w:t>19,711</w:t>
            </w:r>
          </w:p>
        </w:tc>
        <w:tc>
          <w:tcPr>
            <w:tcW w:type="dxa" w:w="1728"/>
          </w:tcPr>
          <w:p>
            <w:r>
              <w:t>29.31%</w:t>
            </w:r>
          </w:p>
        </w:tc>
        <w:tc>
          <w:tcPr>
            <w:tcW w:type="dxa" w:w="1728"/>
          </w:tcPr>
          <w:p>
            <w:r>
              <w:t>7.22%</w:t>
            </w:r>
          </w:p>
        </w:tc>
        <w:tc>
          <w:tcPr>
            <w:tcW w:type="dxa" w:w="1728"/>
          </w:tcPr>
          <w:p>
            <w:r>
              <w:t>8.99%</w:t>
            </w:r>
          </w:p>
        </w:tc>
      </w:tr>
      <w:tr>
        <w:tc>
          <w:tcPr>
            <w:tcW w:type="dxa" w:w="1728"/>
          </w:tcPr>
          <w:p>
            <w:r>
              <w:t>Highest Risk</w:t>
            </w:r>
          </w:p>
        </w:tc>
        <w:tc>
          <w:tcPr>
            <w:tcW w:type="dxa" w:w="1728"/>
          </w:tcPr>
          <w:p>
            <w:r>
              <w:t>7,013</w:t>
            </w:r>
          </w:p>
        </w:tc>
        <w:tc>
          <w:tcPr>
            <w:tcW w:type="dxa" w:w="1728"/>
          </w:tcPr>
          <w:p>
            <w:r>
              <w:t>53.90%</w:t>
            </w:r>
          </w:p>
        </w:tc>
        <w:tc>
          <w:tcPr>
            <w:tcW w:type="dxa" w:w="1728"/>
          </w:tcPr>
          <w:p>
            <w:r>
              <w:t>12.66%</w:t>
            </w:r>
          </w:p>
        </w:tc>
        <w:tc>
          <w:tcPr>
            <w:tcW w:type="dxa" w:w="1728"/>
          </w:tcPr>
          <w:p>
            <w:r>
              <w:t>8.58%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110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1_el_by_ba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Real Expected Loss rate rises from 0.79% of EAD in 'Lowest Risk' to 12.66% in 'Highest Risk' — tracking the real PD input the assumption layer is applied to.</w:t>
      </w:r>
    </w:p>
    <w:p>
      <w:r>
        <w:rPr>
          <w:i/>
          <w:color w:val="595959"/>
        </w:rPr>
        <w:t>Real default rate is highest in 'Highest Risk' at 53.90% across 7,013 real applicants.</w:t>
      </w:r>
    </w:p>
    <w:p>
      <w:r>
        <w:rPr>
          <w:i/>
          <w:color w:val="595959"/>
        </w:rPr>
        <w:t>Statistical robustness verdict: STATISTICALLY ROBUST — RECOMMENDED FOR PRODUCTION.</w:t>
      </w:r>
    </w:p>
    <w:p>
      <w:pPr>
        <w:pStyle w:val="Heading1"/>
      </w:pPr>
      <w:r>
        <w:rPr>
          <w:color w:val="EB6834"/>
        </w:rPr>
        <w:t>Capital Requirement by Documented LGD Segment</w:t>
      </w:r>
    </w:p>
    <w:p>
      <w:r>
        <w:t>Every segment's LGD and Basel asset-correlation value is a cited, published reference point (see the Assumptions sheet in the accompanying Excel workbook) -- never fitted to Home Credit's own real outcomes.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N Applicants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LGD Assumed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Real Default Rate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Total Capital Requirement</w:t>
            </w:r>
          </w:p>
        </w:tc>
      </w:tr>
      <w:tr>
        <w:tc>
          <w:tcPr>
            <w:tcW w:type="dxa" w:w="1728"/>
          </w:tcPr>
          <w:p>
            <w:r>
              <w:t>Secured — Real Estate</w:t>
            </w:r>
          </w:p>
        </w:tc>
        <w:tc>
          <w:tcPr>
            <w:tcW w:type="dxa" w:w="1728"/>
          </w:tcPr>
          <w:p>
            <w:r>
              <w:t>190,207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8.25%</w:t>
            </w:r>
          </w:p>
        </w:tc>
        <w:tc>
          <w:tcPr>
            <w:tcW w:type="dxa" w:w="1728"/>
          </w:tcPr>
          <w:p>
            <w:r>
              <w:t>$6,340,640,310</w:t>
            </w:r>
          </w:p>
        </w:tc>
      </w:tr>
      <w:tr>
        <w:tc>
          <w:tcPr>
            <w:tcW w:type="dxa" w:w="1728"/>
          </w:tcPr>
          <w:p>
            <w:r>
              <w:t>Secured — Other (Vehicle/Goods)</w:t>
            </w:r>
          </w:p>
        </w:tc>
        <w:tc>
          <w:tcPr>
            <w:tcW w:type="dxa" w:w="1728"/>
          </w:tcPr>
          <w:p>
            <w:r>
              <w:t>30,138</w:t>
            </w:r>
          </w:p>
        </w:tc>
        <w:tc>
          <w:tcPr>
            <w:tcW w:type="dxa" w:w="1728"/>
          </w:tcPr>
          <w:p>
            <w:r>
              <w:t>35%</w:t>
            </w:r>
          </w:p>
        </w:tc>
        <w:tc>
          <w:tcPr>
            <w:tcW w:type="dxa" w:w="1728"/>
          </w:tcPr>
          <w:p>
            <w:r>
              <w:t>7.22%</w:t>
            </w:r>
          </w:p>
        </w:tc>
        <w:tc>
          <w:tcPr>
            <w:tcW w:type="dxa" w:w="1728"/>
          </w:tcPr>
          <w:p>
            <w:r>
              <w:t>$912,034,450</w:t>
            </w:r>
          </w:p>
        </w:tc>
      </w:tr>
      <w:tr>
        <w:tc>
          <w:tcPr>
            <w:tcW w:type="dxa" w:w="1728"/>
          </w:tcPr>
          <w:p>
            <w:r>
              <w:t>Unsecured — Other Retail</w:t>
            </w:r>
          </w:p>
        </w:tc>
        <w:tc>
          <w:tcPr>
            <w:tcW w:type="dxa" w:w="1728"/>
          </w:tcPr>
          <w:p>
            <w:r>
              <w:t>57,887</w:t>
            </w:r>
          </w:p>
        </w:tc>
        <w:tc>
          <w:tcPr>
            <w:tcW w:type="dxa" w:w="1728"/>
          </w:tcPr>
          <w:p>
            <w:r>
              <w:t>45%</w:t>
            </w:r>
          </w:p>
        </w:tc>
        <w:tc>
          <w:tcPr>
            <w:tcW w:type="dxa" w:w="1728"/>
          </w:tcPr>
          <w:p>
            <w:r>
              <w:t>9.23%</w:t>
            </w:r>
          </w:p>
        </w:tc>
        <w:tc>
          <w:tcPr>
            <w:tcW w:type="dxa" w:w="1728"/>
          </w:tcPr>
          <w:p>
            <w:r>
              <w:t>$2,006,180,271</w:t>
            </w:r>
          </w:p>
        </w:tc>
      </w:tr>
      <w:tr>
        <w:tc>
          <w:tcPr>
            <w:tcW w:type="dxa" w:w="1728"/>
          </w:tcPr>
          <w:p>
            <w:r>
              <w:t>Revolving (QRRE)</w:t>
            </w:r>
          </w:p>
        </w:tc>
        <w:tc>
          <w:tcPr>
            <w:tcW w:type="dxa" w:w="1728"/>
          </w:tcPr>
          <w:p>
            <w:r>
              <w:t>29,279</w:t>
            </w:r>
          </w:p>
        </w:tc>
        <w:tc>
          <w:tcPr>
            <w:tcW w:type="dxa" w:w="1728"/>
          </w:tcPr>
          <w:p>
            <w:r>
              <w:t>65%</w:t>
            </w:r>
          </w:p>
        </w:tc>
        <w:tc>
          <w:tcPr>
            <w:tcW w:type="dxa" w:w="1728"/>
          </w:tcPr>
          <w:p>
            <w:r>
              <w:t>5.48%</w:t>
            </w:r>
          </w:p>
        </w:tc>
        <w:tc>
          <w:tcPr>
            <w:tcW w:type="dxa" w:w="1728"/>
          </w:tcPr>
          <w:p>
            <w:r>
              <w:t>$498,053,281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1101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1_capital_by_seg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B6834"/>
        </w:rPr>
        <w:t xml:space="preserve">Insight — </w:t>
      </w:r>
      <w:r>
        <w:rPr>
          <w:i/>
          <w:color w:val="595959"/>
        </w:rPr>
        <w:t>'Secured — Real Estate' carries the largest real total capital requirement ($6,340,640,310, LGD assumption 20%) across 190,207 real applicants.</w:t>
      </w:r>
    </w:p>
    <w:p>
      <w:r>
        <w:rPr>
          <w:i/>
          <w:color w:val="595959"/>
        </w:rPr>
        <w:t>Chi-square (PD-band vs. real default): chi2=43332.16, p=0, Cramer's V=0.3754 (95% bootstrap CI [0.3698, 0.3810]).</w:t>
      </w:r>
    </w:p>
    <w:p>
      <w:r>
        <w:rPr>
          <w:i/>
          <w:color w:val="595959"/>
        </w:rPr>
        <w:t>Every LGD/correlation value driving this chart is a cited Basel retail-IRB reference point -- see the Assumptions sheet in the Excel workbook for full sourcing.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