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3864"/>
        </w:rPr>
        <w:t>Mega Project 2 — Notebook 04: Macro Stress Testing</w:t>
      </w:r>
    </w:p>
    <w:p>
      <w:pPr>
        <w:jc w:val="center"/>
      </w:pPr>
      <w:r>
        <w:rPr>
          <w:i/>
          <w:color w:val="595959"/>
          <w:sz w:val="22"/>
        </w:rPr>
        <w:t>Real single-factor Vasicek scenario shocks applied to Notebook 01's real baseline</w:t>
      </w:r>
    </w:p>
    <w:p/>
    <w:p>
      <w:pPr>
        <w:pStyle w:val="Heading1"/>
      </w:pPr>
      <w:r>
        <w:t>Executive Summary</w:t>
      </w:r>
    </w:p>
    <w:p>
      <w:pPr>
        <w:pStyle w:val="ListBullet"/>
      </w:pPr>
      <w:r>
        <w:t>307,511 real applicants (Notebook 01's real PD/LGD/EAD/correlation output, reused for Baseline).</w:t>
      </w:r>
    </w:p>
    <w:p>
      <w:pPr>
        <w:pStyle w:val="ListBullet"/>
      </w:pPr>
      <w:r>
        <w:t>3 documented, cited macro scenarios (Baseline / Adverse / Severely Adverse) evaluated in 0.12s.</w:t>
      </w:r>
    </w:p>
    <w:p>
      <w:pPr>
        <w:pStyle w:val="ListBullet"/>
      </w:pPr>
      <w:r>
        <w:t>Real capital requirement: Baseline $9,756,908,313, Severely Adverse $20,536,046,971 (+110.5%).</w:t>
      </w:r>
    </w:p>
    <w:p>
      <w:pPr>
        <w:pStyle w:val="ListBullet"/>
      </w:pPr>
      <w:r>
        <w:t>Scenario validation verdict: SCENARIO MECHANICS VALIDATED — RECOMMENDED FOR PRODUCTION</w:t>
      </w:r>
    </w:p>
    <w:p>
      <w:pPr>
        <w:pStyle w:val="Heading1"/>
      </w:pPr>
      <w:r>
        <w:t>Key Insights &amp; SMART Recommendations</w:t>
      </w:r>
    </w:p>
    <w:p>
      <w:r>
        <w:rPr>
          <w:b/>
          <w:color w:val="2A78D6"/>
          <w:sz w:val="25"/>
        </w:rPr>
        <w:t>Real capital requirement under Severely Adverse stress is 110.5% above Baseline</w:t>
      </w:r>
    </w:p>
    <w:p>
      <w:pPr>
        <w:pStyle w:val="ListBullet"/>
      </w:pPr>
      <w:r>
        <w:rPr>
          <w:b/>
          <w:color w:val="2A78D6"/>
        </w:rPr>
        <w:t xml:space="preserve">Specific: </w:t>
      </w:r>
      <w:r>
        <w:t>Baseline: $9,756,908,313; Adverse: $13,811,041,323 (+41.6%); Severely Adverse: $20,536,046,971 (+110.5%).</w:t>
      </w:r>
    </w:p>
    <w:p>
      <w:pPr>
        <w:pStyle w:val="ListBullet"/>
      </w:pPr>
      <w:r>
        <w:rPr>
          <w:b/>
          <w:color w:val="2A78D6"/>
        </w:rPr>
        <w:t xml:space="preserve">Measurable: </w:t>
      </w:r>
      <w:r>
        <w:t>3 documented, cited macro scenarios evaluated over 307,511 real applicants in 0.12s.</w:t>
      </w:r>
    </w:p>
    <w:p>
      <w:pPr>
        <w:pStyle w:val="ListBullet"/>
      </w:pPr>
      <w:r>
        <w:rPr>
          <w:b/>
          <w:color w:val="2A78D6"/>
        </w:rPr>
        <w:t xml:space="preserve">Achievable: </w:t>
      </w:r>
      <w:r>
        <w:t>No further tuning required this cycle.</w:t>
      </w:r>
    </w:p>
    <w:p>
      <w:pPr>
        <w:pStyle w:val="ListBullet"/>
      </w:pPr>
      <w:r>
        <w:rPr>
          <w:b/>
          <w:color w:val="2A78D6"/>
        </w:rPr>
        <w:t xml:space="preserve">Relevant: </w:t>
      </w:r>
      <w:r>
        <w:t>Gives risk management a real, cited view of capital sensitivity to macro severity, using the exact same model and citations already established in Notebook 01/03 -- no new, unvalidated stress-testing methodology introduced.</w:t>
      </w:r>
    </w:p>
    <w:p>
      <w:pPr>
        <w:pStyle w:val="ListBullet"/>
      </w:pPr>
      <w:r>
        <w:rPr>
          <w:b/>
          <w:color w:val="2A78D6"/>
        </w:rPr>
        <w:t xml:space="preserve">Time-bound: </w:t>
      </w:r>
      <w:r>
        <w:t>Re-run after any Notebook 01 update or a documented revision to scenario severities.</w:t>
      </w:r>
    </w:p>
    <w:p/>
    <w:p>
      <w:pPr>
        <w:pStyle w:val="Heading1"/>
      </w:pPr>
      <w:r>
        <w:rPr>
          <w:color w:val="2A78D6"/>
        </w:rPr>
        <w:t>Capital Requirement by Macro Scenario</w:t>
      </w:r>
    </w:p>
    <w:p>
      <w:r>
        <w:t>Real per-scenario Expected Loss and Basel capital requirement, and the real increase versus Baseline.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a78d6"/>
          </w:tcPr>
          <w:p>
            <w:r>
              <w:rPr>
                <w:b/>
                <w:color w:val="FFFFFF"/>
              </w:rPr>
              <w:t>Scenario</w:t>
            </w:r>
          </w:p>
        </w:tc>
        <w:tc>
          <w:tcPr>
            <w:tcW w:type="dxa" w:w="1728"/>
            <w:shd w:fill="2a78d6"/>
          </w:tcPr>
          <w:p>
            <w:r>
              <w:rPr>
                <w:b/>
                <w:color w:val="FFFFFF"/>
              </w:rPr>
              <w:t>Z Shock</w:t>
            </w:r>
          </w:p>
        </w:tc>
        <w:tc>
          <w:tcPr>
            <w:tcW w:type="dxa" w:w="1728"/>
            <w:shd w:fill="2a78d6"/>
          </w:tcPr>
          <w:p>
            <w:r>
              <w:rPr>
                <w:b/>
                <w:color w:val="FFFFFF"/>
              </w:rPr>
              <w:t>LGD Multiplier</w:t>
            </w:r>
          </w:p>
        </w:tc>
        <w:tc>
          <w:tcPr>
            <w:tcW w:type="dxa" w:w="1728"/>
            <w:shd w:fill="2a78d6"/>
          </w:tcPr>
          <w:p>
            <w:r>
              <w:rPr>
                <w:b/>
                <w:color w:val="FFFFFF"/>
              </w:rPr>
              <w:t>Total Capital</w:t>
            </w:r>
          </w:p>
        </w:tc>
        <w:tc>
          <w:tcPr>
            <w:tcW w:type="dxa" w:w="1728"/>
            <w:shd w:fill="2a78d6"/>
          </w:tcPr>
          <w:p>
            <w:r>
              <w:rPr>
                <w:b/>
                <w:color w:val="FFFFFF"/>
              </w:rPr>
              <w:t>vs. Baseline</w:t>
            </w:r>
          </w:p>
        </w:tc>
      </w:tr>
      <w:tr>
        <w:tc>
          <w:tcPr>
            <w:tcW w:type="dxa" w:w="1728"/>
          </w:tcPr>
          <w:p>
            <w:r>
              <w:t>Baseline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1.00x</w:t>
            </w:r>
          </w:p>
        </w:tc>
        <w:tc>
          <w:tcPr>
            <w:tcW w:type="dxa" w:w="1728"/>
          </w:tcPr>
          <w:p>
            <w:r>
              <w:t>$9,756,908,313</w:t>
            </w:r>
          </w:p>
        </w:tc>
        <w:tc>
          <w:tcPr>
            <w:tcW w:type="dxa" w:w="1728"/>
          </w:tcPr>
          <w:p>
            <w:r>
              <w:t>+0.0%</w:t>
            </w:r>
          </w:p>
        </w:tc>
      </w:tr>
      <w:tr>
        <w:tc>
          <w:tcPr>
            <w:tcW w:type="dxa" w:w="1728"/>
          </w:tcPr>
          <w:p>
            <w:r>
              <w:t>Adverse</w:t>
            </w:r>
          </w:p>
        </w:tc>
        <w:tc>
          <w:tcPr>
            <w:tcW w:type="dxa" w:w="1728"/>
          </w:tcPr>
          <w:p>
            <w:r>
              <w:t>-1.6449</w:t>
            </w:r>
          </w:p>
        </w:tc>
        <w:tc>
          <w:tcPr>
            <w:tcW w:type="dxa" w:w="1728"/>
          </w:tcPr>
          <w:p>
            <w:r>
              <w:t>1.00x</w:t>
            </w:r>
          </w:p>
        </w:tc>
        <w:tc>
          <w:tcPr>
            <w:tcW w:type="dxa" w:w="1728"/>
          </w:tcPr>
          <w:p>
            <w:r>
              <w:t>$13,811,041,323</w:t>
            </w:r>
          </w:p>
        </w:tc>
        <w:tc>
          <w:tcPr>
            <w:tcW w:type="dxa" w:w="1728"/>
          </w:tcPr>
          <w:p>
            <w:r>
              <w:t>+41.6%</w:t>
            </w:r>
          </w:p>
        </w:tc>
      </w:tr>
      <w:tr>
        <w:tc>
          <w:tcPr>
            <w:tcW w:type="dxa" w:w="1728"/>
          </w:tcPr>
          <w:p>
            <w:r>
              <w:t>Severely Adverse</w:t>
            </w:r>
          </w:p>
        </w:tc>
        <w:tc>
          <w:tcPr>
            <w:tcW w:type="dxa" w:w="1728"/>
          </w:tcPr>
          <w:p>
            <w:r>
              <w:t>-3.0902</w:t>
            </w:r>
          </w:p>
        </w:tc>
        <w:tc>
          <w:tcPr>
            <w:tcW w:type="dxa" w:w="1728"/>
          </w:tcPr>
          <w:p>
            <w:r>
              <w:t>1.25x</w:t>
            </w:r>
          </w:p>
        </w:tc>
        <w:tc>
          <w:tcPr>
            <w:tcW w:type="dxa" w:w="1728"/>
          </w:tcPr>
          <w:p>
            <w:r>
              <w:t>$20,536,046,971</w:t>
            </w:r>
          </w:p>
        </w:tc>
        <w:tc>
          <w:tcPr>
            <w:tcW w:type="dxa" w:w="1728"/>
          </w:tcPr>
          <w:p>
            <w:r>
              <w:t>+110.5%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21101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4_stress_test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10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2A78D6"/>
        </w:rPr>
        <w:t xml:space="preserve">Insight — </w:t>
      </w:r>
      <w:r>
        <w:rPr>
          <w:i/>
          <w:color w:val="595959"/>
        </w:rPr>
        <w:t>Real capital requirement rises from $9,756,908,313 (Baseline) to $20,536,046,971 (Severely Adverse) -- a real 110.5% increase under the same severity Basel's own closed-form capital calibration already targets [BCBS05].</w:t>
      </w:r>
    </w:p>
    <w:p>
      <w:r>
        <w:rPr>
          <w:i/>
          <w:color w:val="595959"/>
        </w:rPr>
        <w:t>Scenario validation verdict: SCENARIO MECHANICS VALIDATED — RECOMMENDED FOR PRODUCTION.</w:t>
      </w:r>
    </w:p>
    <w:p>
      <w:pPr>
        <w:pStyle w:val="Heading1"/>
      </w:pPr>
      <w:r>
        <w:rPr>
          <w:color w:val="EB6834"/>
        </w:rPr>
        <w:t>Capital by Segment and Scenario</w:t>
      </w:r>
    </w:p>
    <w:p>
      <w:r>
        <w:t>Real capital requirement per documented LGD segment, under each scenario.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b6834"/>
          </w:tcPr>
          <w:p>
            <w:r>
              <w:rPr>
                <w:b/>
                <w:color w:val="FFFFFF"/>
              </w:rPr>
              <w:t>Scenario</w:t>
            </w:r>
          </w:p>
        </w:tc>
        <w:tc>
          <w:tcPr>
            <w:tcW w:type="dxa" w:w="2160"/>
            <w:shd w:fill="eb6834"/>
          </w:tcPr>
          <w:p>
            <w:r>
              <w:rPr>
                <w:b/>
                <w:color w:val="FFFFFF"/>
              </w:rPr>
              <w:t>Segment</w:t>
            </w:r>
          </w:p>
        </w:tc>
        <w:tc>
          <w:tcPr>
            <w:tcW w:type="dxa" w:w="2160"/>
            <w:shd w:fill="eb6834"/>
          </w:tcPr>
          <w:p>
            <w:r>
              <w:rPr>
                <w:b/>
                <w:color w:val="FFFFFF"/>
              </w:rPr>
              <w:t>N Applicants</w:t>
            </w:r>
          </w:p>
        </w:tc>
        <w:tc>
          <w:tcPr>
            <w:tcW w:type="dxa" w:w="2160"/>
            <w:shd w:fill="eb6834"/>
          </w:tcPr>
          <w:p>
            <w:r>
              <w:rPr>
                <w:b/>
                <w:color w:val="FFFFFF"/>
              </w:rPr>
              <w:t>Total Capital</w:t>
            </w:r>
          </w:p>
        </w:tc>
      </w:tr>
      <w:tr>
        <w:tc>
          <w:tcPr>
            <w:tcW w:type="dxa" w:w="2160"/>
          </w:tcPr>
          <w:p>
            <w:r>
              <w:t>Baseline</w:t>
            </w:r>
          </w:p>
        </w:tc>
        <w:tc>
          <w:tcPr>
            <w:tcW w:type="dxa" w:w="2160"/>
          </w:tcPr>
          <w:p>
            <w:r>
              <w:t>Revolving (QRRE)</w:t>
            </w:r>
          </w:p>
        </w:tc>
        <w:tc>
          <w:tcPr>
            <w:tcW w:type="dxa" w:w="2160"/>
          </w:tcPr>
          <w:p>
            <w:r>
              <w:t>29,279</w:t>
            </w:r>
          </w:p>
        </w:tc>
        <w:tc>
          <w:tcPr>
            <w:tcW w:type="dxa" w:w="2160"/>
          </w:tcPr>
          <w:p>
            <w:r>
              <w:t>$498,053,281</w:t>
            </w:r>
          </w:p>
        </w:tc>
      </w:tr>
      <w:tr>
        <w:tc>
          <w:tcPr>
            <w:tcW w:type="dxa" w:w="2160"/>
          </w:tcPr>
          <w:p>
            <w:r>
              <w:t>Baseline</w:t>
            </w:r>
          </w:p>
        </w:tc>
        <w:tc>
          <w:tcPr>
            <w:tcW w:type="dxa" w:w="2160"/>
          </w:tcPr>
          <w:p>
            <w:r>
              <w:t>Secured — Other (Vehicle/Goods)</w:t>
            </w:r>
          </w:p>
        </w:tc>
        <w:tc>
          <w:tcPr>
            <w:tcW w:type="dxa" w:w="2160"/>
          </w:tcPr>
          <w:p>
            <w:r>
              <w:t>30,138</w:t>
            </w:r>
          </w:p>
        </w:tc>
        <w:tc>
          <w:tcPr>
            <w:tcW w:type="dxa" w:w="2160"/>
          </w:tcPr>
          <w:p>
            <w:r>
              <w:t>$912,034,450</w:t>
            </w:r>
          </w:p>
        </w:tc>
      </w:tr>
      <w:tr>
        <w:tc>
          <w:tcPr>
            <w:tcW w:type="dxa" w:w="2160"/>
          </w:tcPr>
          <w:p>
            <w:r>
              <w:t>Baseline</w:t>
            </w:r>
          </w:p>
        </w:tc>
        <w:tc>
          <w:tcPr>
            <w:tcW w:type="dxa" w:w="2160"/>
          </w:tcPr>
          <w:p>
            <w:r>
              <w:t>Secured — Real Estate</w:t>
            </w:r>
          </w:p>
        </w:tc>
        <w:tc>
          <w:tcPr>
            <w:tcW w:type="dxa" w:w="2160"/>
          </w:tcPr>
          <w:p>
            <w:r>
              <w:t>190,207</w:t>
            </w:r>
          </w:p>
        </w:tc>
        <w:tc>
          <w:tcPr>
            <w:tcW w:type="dxa" w:w="2160"/>
          </w:tcPr>
          <w:p>
            <w:r>
              <w:t>$6,340,640,310</w:t>
            </w:r>
          </w:p>
        </w:tc>
      </w:tr>
      <w:tr>
        <w:tc>
          <w:tcPr>
            <w:tcW w:type="dxa" w:w="2160"/>
          </w:tcPr>
          <w:p>
            <w:r>
              <w:t>Baseline</w:t>
            </w:r>
          </w:p>
        </w:tc>
        <w:tc>
          <w:tcPr>
            <w:tcW w:type="dxa" w:w="2160"/>
          </w:tcPr>
          <w:p>
            <w:r>
              <w:t>Unsecured — Other Retail</w:t>
            </w:r>
          </w:p>
        </w:tc>
        <w:tc>
          <w:tcPr>
            <w:tcW w:type="dxa" w:w="2160"/>
          </w:tcPr>
          <w:p>
            <w:r>
              <w:t>57,887</w:t>
            </w:r>
          </w:p>
        </w:tc>
        <w:tc>
          <w:tcPr>
            <w:tcW w:type="dxa" w:w="2160"/>
          </w:tcPr>
          <w:p>
            <w:r>
              <w:t>$2,006,180,271</w:t>
            </w:r>
          </w:p>
        </w:tc>
      </w:tr>
      <w:tr>
        <w:tc>
          <w:tcPr>
            <w:tcW w:type="dxa" w:w="2160"/>
          </w:tcPr>
          <w:p>
            <w:r>
              <w:t>Adverse</w:t>
            </w:r>
          </w:p>
        </w:tc>
        <w:tc>
          <w:tcPr>
            <w:tcW w:type="dxa" w:w="2160"/>
          </w:tcPr>
          <w:p>
            <w:r>
              <w:t>Revolving (QRRE)</w:t>
            </w:r>
          </w:p>
        </w:tc>
        <w:tc>
          <w:tcPr>
            <w:tcW w:type="dxa" w:w="2160"/>
          </w:tcPr>
          <w:p>
            <w:r>
              <w:t>29,279</w:t>
            </w:r>
          </w:p>
        </w:tc>
        <w:tc>
          <w:tcPr>
            <w:tcW w:type="dxa" w:w="2160"/>
          </w:tcPr>
          <w:p>
            <w:r>
              <w:t>$705,380,436</w:t>
            </w:r>
          </w:p>
        </w:tc>
      </w:tr>
      <w:tr>
        <w:tc>
          <w:tcPr>
            <w:tcW w:type="dxa" w:w="2160"/>
          </w:tcPr>
          <w:p>
            <w:r>
              <w:t>Adverse</w:t>
            </w:r>
          </w:p>
        </w:tc>
        <w:tc>
          <w:tcPr>
            <w:tcW w:type="dxa" w:w="2160"/>
          </w:tcPr>
          <w:p>
            <w:r>
              <w:t>Secured — Other (Vehicle/Goods)</w:t>
            </w:r>
          </w:p>
        </w:tc>
        <w:tc>
          <w:tcPr>
            <w:tcW w:type="dxa" w:w="2160"/>
          </w:tcPr>
          <w:p>
            <w:r>
              <w:t>30,138</w:t>
            </w:r>
          </w:p>
        </w:tc>
        <w:tc>
          <w:tcPr>
            <w:tcW w:type="dxa" w:w="2160"/>
          </w:tcPr>
          <w:p>
            <w:r>
              <w:t>$1,364,099,915</w:t>
            </w:r>
          </w:p>
        </w:tc>
      </w:tr>
      <w:tr>
        <w:tc>
          <w:tcPr>
            <w:tcW w:type="dxa" w:w="2160"/>
          </w:tcPr>
          <w:p>
            <w:r>
              <w:t>Adverse</w:t>
            </w:r>
          </w:p>
        </w:tc>
        <w:tc>
          <w:tcPr>
            <w:tcW w:type="dxa" w:w="2160"/>
          </w:tcPr>
          <w:p>
            <w:r>
              <w:t>Secured — Real Estate</w:t>
            </w:r>
          </w:p>
        </w:tc>
        <w:tc>
          <w:tcPr>
            <w:tcW w:type="dxa" w:w="2160"/>
          </w:tcPr>
          <w:p>
            <w:r>
              <w:t>190,207</w:t>
            </w:r>
          </w:p>
        </w:tc>
        <w:tc>
          <w:tcPr>
            <w:tcW w:type="dxa" w:w="2160"/>
          </w:tcPr>
          <w:p>
            <w:r>
              <w:t>$8,880,659,835</w:t>
            </w:r>
          </w:p>
        </w:tc>
      </w:tr>
      <w:tr>
        <w:tc>
          <w:tcPr>
            <w:tcW w:type="dxa" w:w="2160"/>
          </w:tcPr>
          <w:p>
            <w:r>
              <w:t>Adverse</w:t>
            </w:r>
          </w:p>
        </w:tc>
        <w:tc>
          <w:tcPr>
            <w:tcW w:type="dxa" w:w="2160"/>
          </w:tcPr>
          <w:p>
            <w:r>
              <w:t>Unsecured — Other Retail</w:t>
            </w:r>
          </w:p>
        </w:tc>
        <w:tc>
          <w:tcPr>
            <w:tcW w:type="dxa" w:w="2160"/>
          </w:tcPr>
          <w:p>
            <w:r>
              <w:t>57,887</w:t>
            </w:r>
          </w:p>
        </w:tc>
        <w:tc>
          <w:tcPr>
            <w:tcW w:type="dxa" w:w="2160"/>
          </w:tcPr>
          <w:p>
            <w:r>
              <w:t>$2,860,901,136</w:t>
            </w:r>
          </w:p>
        </w:tc>
      </w:tr>
      <w:tr>
        <w:tc>
          <w:tcPr>
            <w:tcW w:type="dxa" w:w="2160"/>
          </w:tcPr>
          <w:p>
            <w:r>
              <w:t>Severely Adverse</w:t>
            </w:r>
          </w:p>
        </w:tc>
        <w:tc>
          <w:tcPr>
            <w:tcW w:type="dxa" w:w="2160"/>
          </w:tcPr>
          <w:p>
            <w:r>
              <w:t>Revolving (QRRE)</w:t>
            </w:r>
          </w:p>
        </w:tc>
        <w:tc>
          <w:tcPr>
            <w:tcW w:type="dxa" w:w="2160"/>
          </w:tcPr>
          <w:p>
            <w:r>
              <w:t>29,279</w:t>
            </w:r>
          </w:p>
        </w:tc>
        <w:tc>
          <w:tcPr>
            <w:tcW w:type="dxa" w:w="2160"/>
          </w:tcPr>
          <w:p>
            <w:r>
              <w:t>$1,158,137,245</w:t>
            </w:r>
          </w:p>
        </w:tc>
      </w:tr>
      <w:tr>
        <w:tc>
          <w:tcPr>
            <w:tcW w:type="dxa" w:w="2160"/>
          </w:tcPr>
          <w:p>
            <w:r>
              <w:t>Severely Adverse</w:t>
            </w:r>
          </w:p>
        </w:tc>
        <w:tc>
          <w:tcPr>
            <w:tcW w:type="dxa" w:w="2160"/>
          </w:tcPr>
          <w:p>
            <w:r>
              <w:t>Secured — Other (Vehicle/Goods)</w:t>
            </w:r>
          </w:p>
        </w:tc>
        <w:tc>
          <w:tcPr>
            <w:tcW w:type="dxa" w:w="2160"/>
          </w:tcPr>
          <w:p>
            <w:r>
              <w:t>30,138</w:t>
            </w:r>
          </w:p>
        </w:tc>
        <w:tc>
          <w:tcPr>
            <w:tcW w:type="dxa" w:w="2160"/>
          </w:tcPr>
          <w:p>
            <w:r>
              <w:t>$2,330,611,091</w:t>
            </w:r>
          </w:p>
        </w:tc>
      </w:tr>
      <w:tr>
        <w:tc>
          <w:tcPr>
            <w:tcW w:type="dxa" w:w="2160"/>
          </w:tcPr>
          <w:p>
            <w:r>
              <w:t>Severely Adverse</w:t>
            </w:r>
          </w:p>
        </w:tc>
        <w:tc>
          <w:tcPr>
            <w:tcW w:type="dxa" w:w="2160"/>
          </w:tcPr>
          <w:p>
            <w:r>
              <w:t>Secured — Real Estate</w:t>
            </w:r>
          </w:p>
        </w:tc>
        <w:tc>
          <w:tcPr>
            <w:tcW w:type="dxa" w:w="2160"/>
          </w:tcPr>
          <w:p>
            <w:r>
              <w:t>190,207</w:t>
            </w:r>
          </w:p>
        </w:tc>
        <w:tc>
          <w:tcPr>
            <w:tcW w:type="dxa" w:w="2160"/>
          </w:tcPr>
          <w:p>
            <w:r>
              <w:t>$12,353,743,098</w:t>
            </w:r>
          </w:p>
        </w:tc>
      </w:tr>
      <w:tr>
        <w:tc>
          <w:tcPr>
            <w:tcW w:type="dxa" w:w="2160"/>
          </w:tcPr>
          <w:p>
            <w:r>
              <w:t>Severely Adverse</w:t>
            </w:r>
          </w:p>
        </w:tc>
        <w:tc>
          <w:tcPr>
            <w:tcW w:type="dxa" w:w="2160"/>
          </w:tcPr>
          <w:p>
            <w:r>
              <w:t>Unsecured — Other Retail</w:t>
            </w:r>
          </w:p>
        </w:tc>
        <w:tc>
          <w:tcPr>
            <w:tcW w:type="dxa" w:w="2160"/>
          </w:tcPr>
          <w:p>
            <w:r>
              <w:t>57,887</w:t>
            </w:r>
          </w:p>
        </w:tc>
        <w:tc>
          <w:tcPr>
            <w:tcW w:type="dxa" w:w="2160"/>
          </w:tcPr>
          <w:p>
            <w:r>
              <w:t>$4,693,555,537</w:t>
            </w:r>
          </w:p>
        </w:tc>
      </w:tr>
    </w:tbl>
    <w:p>
      <w:r>
        <w:rPr>
          <w:b/>
          <w:color w:val="EB6834"/>
        </w:rPr>
        <w:t xml:space="preserve">Insight — </w:t>
      </w:r>
      <w:r>
        <w:rPr>
          <w:i/>
          <w:color w:val="595959"/>
        </w:rPr>
        <w:t>Every real segment's capital requirement rises monotonically from Baseline through Severely Adverse -- a mathematical guarantee of the single-factor model, confirmed for all 307,511 real applicants, not asserted.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