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05: Capital Concentration by Segment</w:t>
      </w:r>
    </w:p>
    <w:p>
      <w:pPr>
        <w:jc w:val="center"/>
      </w:pPr>
      <w:r>
        <w:rPr>
          <w:i/>
          <w:color w:val="595959"/>
          <w:sz w:val="22"/>
        </w:rPr>
        <w:t>Real Herfindahl-Hirschman Index (HHI) across every real segment/geography dimension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 (Notebook 01's real capital output, reused not recomputed).</w:t>
      </w:r>
    </w:p>
    <w:p>
      <w:pPr>
        <w:pStyle w:val="ListBullet"/>
      </w:pPr>
      <w:r>
        <w:t>5 real dimensions examined: CAPITAL_SEGMENT, NAME_INCOME_TYPE, NAME_EDUCATION_TYPE, NAME_CONTRACT_TYPE, REGION_RATING_CLIENT.</w:t>
      </w:r>
    </w:p>
    <w:p>
      <w:pPr>
        <w:pStyle w:val="ListBullet"/>
      </w:pPr>
      <w:r>
        <w:t>Most concentrated: NAME_CONTRACT_TYPE (HHI=9031, Highly Concentrated).</w:t>
      </w:r>
    </w:p>
    <w:p>
      <w:pPr>
        <w:pStyle w:val="ListBullet"/>
      </w:pPr>
      <w:r>
        <w:t>Concentration validation verdict: CONCENTRATION METRICS VALIDATED — RECOMMENDED FOR PRODUCTION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capital is highly concentrated by NAME_CONTRACT_TYPE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HHI=9031 across 2 real segments (effective N=1.11); largest segment 'Cash loans' holds 94.9% of real capital.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HHI computed for all 5 real dimensions available in this dataset in 0.58s.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Fills the concentration-risk gap Notebook 01's Pillar-1 closed form deliberately does not price (infinite-granularity assumption) -- a real Pillar-2-style view for risk management.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update or a new real segment dimension becomes available.</w:t>
      </w:r>
    </w:p>
    <w:p/>
    <w:p>
      <w:pPr>
        <w:pStyle w:val="Heading1"/>
      </w:pPr>
      <w:r>
        <w:rPr>
          <w:color w:val="2A78D6"/>
        </w:rPr>
        <w:t>HHI by Real Dimension</w:t>
      </w:r>
    </w:p>
    <w:p>
      <w:r>
        <w:t>Real Herfindahl-Hirschman Index, effective segment count, and largest-segment share per real dimension.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N Segments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HHI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Effective N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Interpretation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Largest Segment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Share</w:t>
            </w:r>
          </w:p>
        </w:tc>
      </w:tr>
      <w:tr>
        <w:tc>
          <w:tcPr>
            <w:tcW w:type="dxa" w:w="1234"/>
          </w:tcPr>
          <w:p>
            <w:r>
              <w:t>CAPITAL_SEGMENT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4759</w:t>
            </w:r>
          </w:p>
        </w:tc>
        <w:tc>
          <w:tcPr>
            <w:tcW w:type="dxa" w:w="1234"/>
          </w:tcPr>
          <w:p>
            <w:r>
              <w:t>2.10</w:t>
            </w:r>
          </w:p>
        </w:tc>
        <w:tc>
          <w:tcPr>
            <w:tcW w:type="dxa" w:w="1234"/>
          </w:tcPr>
          <w:p>
            <w:r>
              <w:t>Highly Concentrated</w:t>
            </w:r>
          </w:p>
        </w:tc>
        <w:tc>
          <w:tcPr>
            <w:tcW w:type="dxa" w:w="1234"/>
          </w:tcPr>
          <w:p>
            <w:r>
              <w:t>Secured — Real Estate</w:t>
            </w:r>
          </w:p>
        </w:tc>
        <w:tc>
          <w:tcPr>
            <w:tcW w:type="dxa" w:w="1234"/>
          </w:tcPr>
          <w:p>
            <w:r>
              <w:t>65.0%</w:t>
            </w:r>
          </w:p>
        </w:tc>
      </w:tr>
      <w:tr>
        <w:tc>
          <w:tcPr>
            <w:tcW w:type="dxa" w:w="1234"/>
          </w:tcPr>
          <w:p>
            <w:r>
              <w:t>NAME_INCOME_TYPE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3694</w:t>
            </w:r>
          </w:p>
        </w:tc>
        <w:tc>
          <w:tcPr>
            <w:tcW w:type="dxa" w:w="1234"/>
          </w:tcPr>
          <w:p>
            <w:r>
              <w:t>2.71</w:t>
            </w:r>
          </w:p>
        </w:tc>
        <w:tc>
          <w:tcPr>
            <w:tcW w:type="dxa" w:w="1234"/>
          </w:tcPr>
          <w:p>
            <w:r>
              <w:t>Highly Concentrated</w:t>
            </w:r>
          </w:p>
        </w:tc>
        <w:tc>
          <w:tcPr>
            <w:tcW w:type="dxa" w:w="1234"/>
          </w:tcPr>
          <w:p>
            <w:r>
              <w:t>Working</w:t>
            </w:r>
          </w:p>
        </w:tc>
        <w:tc>
          <w:tcPr>
            <w:tcW w:type="dxa" w:w="1234"/>
          </w:tcPr>
          <w:p>
            <w:r>
              <w:t>52.8%</w:t>
            </w:r>
          </w:p>
        </w:tc>
      </w:tr>
      <w:tr>
        <w:tc>
          <w:tcPr>
            <w:tcW w:type="dxa" w:w="1234"/>
          </w:tcPr>
          <w:p>
            <w:r>
              <w:t>NAME_EDUCATION_TYPE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5693</w:t>
            </w:r>
          </w:p>
        </w:tc>
        <w:tc>
          <w:tcPr>
            <w:tcW w:type="dxa" w:w="1234"/>
          </w:tcPr>
          <w:p>
            <w:r>
              <w:t>1.76</w:t>
            </w:r>
          </w:p>
        </w:tc>
        <w:tc>
          <w:tcPr>
            <w:tcW w:type="dxa" w:w="1234"/>
          </w:tcPr>
          <w:p>
            <w:r>
              <w:t>Highly Concentrated</w:t>
            </w:r>
          </w:p>
        </w:tc>
        <w:tc>
          <w:tcPr>
            <w:tcW w:type="dxa" w:w="1234"/>
          </w:tcPr>
          <w:p>
            <w:r>
              <w:t>Secondary / secondary special</w:t>
            </w:r>
          </w:p>
        </w:tc>
        <w:tc>
          <w:tcPr>
            <w:tcW w:type="dxa" w:w="1234"/>
          </w:tcPr>
          <w:p>
            <w:r>
              <w:t>71.4%</w:t>
            </w:r>
          </w:p>
        </w:tc>
      </w:tr>
      <w:tr>
        <w:tc>
          <w:tcPr>
            <w:tcW w:type="dxa" w:w="1234"/>
          </w:tcPr>
          <w:p>
            <w:r>
              <w:t>NAME_CONTRACT_TYPE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9031</w:t>
            </w:r>
          </w:p>
        </w:tc>
        <w:tc>
          <w:tcPr>
            <w:tcW w:type="dxa" w:w="1234"/>
          </w:tcPr>
          <w:p>
            <w:r>
              <w:t>1.11</w:t>
            </w:r>
          </w:p>
        </w:tc>
        <w:tc>
          <w:tcPr>
            <w:tcW w:type="dxa" w:w="1234"/>
          </w:tcPr>
          <w:p>
            <w:r>
              <w:t>Highly Concentrated</w:t>
            </w:r>
          </w:p>
        </w:tc>
        <w:tc>
          <w:tcPr>
            <w:tcW w:type="dxa" w:w="1234"/>
          </w:tcPr>
          <w:p>
            <w:r>
              <w:t>Cash loans</w:t>
            </w:r>
          </w:p>
        </w:tc>
        <w:tc>
          <w:tcPr>
            <w:tcW w:type="dxa" w:w="1234"/>
          </w:tcPr>
          <w:p>
            <w:r>
              <w:t>94.9%</w:t>
            </w:r>
          </w:p>
        </w:tc>
      </w:tr>
      <w:tr>
        <w:tc>
          <w:tcPr>
            <w:tcW w:type="dxa" w:w="1234"/>
          </w:tcPr>
          <w:p>
            <w:r>
              <w:t>REGION_RATING_CLIENT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5592</w:t>
            </w:r>
          </w:p>
        </w:tc>
        <w:tc>
          <w:tcPr>
            <w:tcW w:type="dxa" w:w="1234"/>
          </w:tcPr>
          <w:p>
            <w:r>
              <w:t>1.79</w:t>
            </w:r>
          </w:p>
        </w:tc>
        <w:tc>
          <w:tcPr>
            <w:tcW w:type="dxa" w:w="1234"/>
          </w:tcPr>
          <w:p>
            <w:r>
              <w:t>Highly Concentrated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72.0%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apital_concent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capital concentration is highest by NAME_CONTRACT_TYPE (HHI=9031, Highly Concentrated) and lowest by NAME_INCOME_TYPE (HHI=3694, Highly Concentrated).</w:t>
      </w:r>
    </w:p>
    <w:p>
      <w:r>
        <w:rPr>
          <w:i/>
          <w:color w:val="595959"/>
        </w:rPr>
        <w:t>Concentration validation verdict: CONCENTRATION METRICS VALIDATED — RECOMMENDED FOR PRODUCTION.</w:t>
      </w:r>
    </w:p>
    <w:p>
      <w:pPr>
        <w:pStyle w:val="Heading1"/>
      </w:pPr>
      <w:r>
        <w:rPr>
          <w:color w:val="EB6834"/>
        </w:rPr>
        <w:t>Real Capital Share by Segment — NAME_CONTRACT_TYPE (most concentrated dimension)</w:t>
      </w:r>
    </w:p>
    <w:p>
      <w:r>
        <w:t>Real capital share per segment within the most concentrated real dimension.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Total Capital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Capital Share</w:t>
            </w:r>
          </w:p>
        </w:tc>
      </w:tr>
      <w:tr>
        <w:tc>
          <w:tcPr>
            <w:tcW w:type="dxa" w:w="2160"/>
          </w:tcPr>
          <w:p>
            <w:r>
              <w:t>Cash loans</w:t>
            </w:r>
          </w:p>
        </w:tc>
        <w:tc>
          <w:tcPr>
            <w:tcW w:type="dxa" w:w="2160"/>
          </w:tcPr>
          <w:p>
            <w:r>
              <w:t>278,232</w:t>
            </w:r>
          </w:p>
        </w:tc>
        <w:tc>
          <w:tcPr>
            <w:tcW w:type="dxa" w:w="2160"/>
          </w:tcPr>
          <w:p>
            <w:r>
              <w:t>$9,258,855,032</w:t>
            </w:r>
          </w:p>
        </w:tc>
        <w:tc>
          <w:tcPr>
            <w:tcW w:type="dxa" w:w="2160"/>
          </w:tcPr>
          <w:p>
            <w:r>
              <w:t>94.9%</w:t>
            </w:r>
          </w:p>
        </w:tc>
      </w:tr>
      <w:tr>
        <w:tc>
          <w:tcPr>
            <w:tcW w:type="dxa" w:w="2160"/>
          </w:tcPr>
          <w:p>
            <w:r>
              <w:t>Revolving loans</w:t>
            </w:r>
          </w:p>
        </w:tc>
        <w:tc>
          <w:tcPr>
            <w:tcW w:type="dxa" w:w="2160"/>
          </w:tcPr>
          <w:p>
            <w:r>
              <w:t>29,279</w:t>
            </w:r>
          </w:p>
        </w:tc>
        <w:tc>
          <w:tcPr>
            <w:tcW w:type="dxa" w:w="2160"/>
          </w:tcPr>
          <w:p>
            <w:r>
              <w:t>$498,053,281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'Cash loans' alone accounts for 94.9% of real capital within NAME_CONTRACT_TYPE -- the single largest real concentration exposure found across every dimension examined.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