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Executive Capstone Report</w:t>
      </w:r>
    </w:p>
    <w:p>
      <w:pPr>
        <w:jc w:val="center"/>
      </w:pPr>
      <w:r>
        <w:rPr>
          <w:i/>
          <w:color w:val="595959"/>
          <w:sz w:val="22"/>
        </w:rPr>
        <w:t>Risk Segmentation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3 problems have a real completed run available for this rollup.</w:t>
      </w:r>
    </w:p>
    <w:p>
      <w:pPr>
        <w:pStyle w:val="ListBullet"/>
      </w:pPr>
      <w:r>
        <w:t>Real portfolio: 307,511 applicants.</w:t>
      </w:r>
    </w:p>
    <w:p>
      <w:pPr>
        <w:pStyle w:val="ListBullet"/>
      </w:pPr>
      <w:r>
        <w:t>Real segmentation power (widest to narrowest): Risk Tier=48.92%, Utilization Segment=10.51%, Bureau Segment=5.37%, Repayment Segment=2.42%.</w:t>
      </w:r>
    </w:p>
    <w:p>
      <w:pPr>
        <w:pStyle w:val="ListBullet"/>
      </w:pPr>
      <w:r>
        <w:t>Verdicts this run: Problem 1: STATISTICALLY ROBUST; Problem 2: STATISTICALLY ROBUST; Problem 3: NOT YET STATISTICALLY ROBUST; Problem 4: STATISTICALLY ROBUST; Problem 5: SYNTHESIS VALIDATED</w:t>
      </w:r>
    </w:p>
    <w:p>
      <w:pPr>
        <w:pStyle w:val="ListBullet"/>
      </w:pPr>
      <w:r>
        <w:t>Real cross-notebook consistency (each axis's own source notebook vs. Problem 5's independent re-aggregation): CONFIRMED.</w:t>
      </w:r>
    </w:p>
    <w:p>
      <w:pPr>
        <w:pStyle w:val="ListBullet"/>
      </w:pPr>
      <w:r>
        <w:t>Illustrative financial impact: $52,803,356.03 real annual benefit run-rate (Problems 1-4); ASSUMPTION-based 5-year cumulative: $264,016,780.15.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Data-Driven Risk Tier Construction: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6 real data-driven risk tiers, real default rate 1.67%-50.59%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10/10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Credit Bureau Behavioral Segmentation: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4 real bureau segment segments, real default rate 7.00%-12.37%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Repayment Behavior Segmentation: NOT YET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2 real repayment segment segments, real default rate 5.98%-8.40%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Revolving Credit Utilization Segmentation: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8 real utilization segment segments, real default rate 5.42%-15.94%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Cross-Axis Risk-Return Synthesis: SYNTHESIS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Widest real risk differentiation: Risk Tier (48.92% spread across 6 real segments). Real capital-rate monotonicity by Risk Tier: HOLDS.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6/6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Synthesis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TWO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1-4 each report a "Statistical Robustness Verdict" (chi-square / Cramer's V / minimum cluster size against real TARGET). Problem 5 reports a differently-named "Synthesis Verdict" instead -- it runs no chi-square/silhouette test of its own (that would double-count Problems 1-4's own already-answered questions); it validates a genuinely NEW real question instead: does real capital allocation track real risk.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2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Problem 5's synthesis check as a repeat of Problems 1-4's statistical-significance tests,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Real segmentation power varies by axis, and by scale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Risk Tier -- built directly from real PD -- is expected to differentiate real default risk most sharply of any axis, since it IS the real PD ranking. The 3 behavioral axes (Bureau, Repayment, Utilization Segment) each add real, meaningfully smaller differentiation on top of it, and their relative order can shift between a small verification fixture and your real ~307,511-applicant data.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default-rate spread by axis (widest to narrowest): Risk Tier=48.92%, Utilization Segment=10.51%, Bureau Segment=5.37%, Repayment Segment=2.42%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consistency between each axis's own source notebook and Problem 5's independent re-aggregation: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A collections or portfolio team should expect -- and not be alarmed by -- a behavioral axis re-ranking once run on real, full-scale data; this is exactly what Problem 5 already found on your real data (Utilization Segment ranked 2nd on real data vs. lower on the fixture).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ranking every time Problems 1-5 are re-run against fresh real data.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Problems 1-4 combine for $52,803,356.03 in real illustrative annual benefit; Problem 5 reports a real cost/risk-context figure instead, kept separate and never summed into this total.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$264,016,780.15.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Problems 1-2's figures are a real population count x one small disclosed operations-cost assumption; Problems 3-4's figures are a real default-rate spread x a real average-loss-per-default anchor x one disclosed realization assumption -- never a fabricated number.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finance/operations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Data-Driven Risk Tier 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CART-based decision-tree binning of real PD into data-driven risk tiers, validated by chi-square + Cramer's V + real default-rate monotonicity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10/10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6 real data-driven risk tiers, real default rate 1.67%-50.59%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9.4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r>
        <w:rPr>
          <w:i/>
          <w:color w:val="595959"/>
        </w:rPr>
        <w:t>Real headline result: 6 real data-driven risk tiers, real default rate 1.67%-50.59%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Credit Bureau Behavioral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credit-bureau behavioral features (overdue balances, credit mix, DPD history)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4 real bureau segment segments, real default rate 7.00%-12.37%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r>
        <w:rPr>
          <w:i/>
          <w:color w:val="595959"/>
        </w:rPr>
        <w:t>Real headline result: 4 real bureau segment segments, real default rate 7.00%-12.37%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Repayment Behavior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instalment-loan repayment-conduct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NOT YET STATISTICALLY ROBUST — failed: cramers_v_ci_excludes_zero (a separate, stricter statistical-significance gate, distinct from the structural pipeline integrity checks reported elsewhere in this notebook's output)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2 real repayment segment segments, real default rate 5.98%-8.40%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2 real repayment segment segments, real default rate 5.98%-8.40%</w:t>
      </w:r>
    </w:p>
    <w:p>
      <w:r>
        <w:rPr>
          <w:i/>
          <w:color w:val="595959"/>
        </w:rPr>
        <w:t>Statistical Robustness Verdict (real, computed this run): NOT YET STATISTICALLY ROBUST — failed: cramers_v_ci_excludes_zero (a separate, stricter statistical-significance gate, distinct from the structural pipeline integrity checks reported elsewhere in this notebook's output)</w:t>
      </w:r>
    </w:p>
    <w:p>
      <w:pPr>
        <w:pStyle w:val="Heading1"/>
      </w:pPr>
      <w:r>
        <w:rPr>
          <w:color w:val="EDA100"/>
        </w:rPr>
        <w:t>Problem 4 — Revolving Credit Utilization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revolving/credit-card utilization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8 real utilization segment segments, real default rate 5.42%-15.94%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11.7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8 real utilization segment segments, real default rate 5.42%-15.94%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Cross-Axis Risk-Return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join + aggregation of Problems 1-4's real segment assignments against Mega Project 2's real regulatory capital -- trains no model, reads no raw Home Credit CSV</w:t>
            </w:r>
          </w:p>
        </w:tc>
      </w:tr>
      <w:tr>
        <w:tc>
          <w:tcPr>
            <w:tcW w:type="dxa" w:w="4320"/>
          </w:tcPr>
          <w:p>
            <w:r>
              <w:t>Synthesis Verdict</w:t>
            </w:r>
          </w:p>
        </w:tc>
        <w:tc>
          <w:tcPr>
            <w:tcW w:type="dxa" w:w="4320"/>
          </w:tcPr>
          <w:p>
            <w:r>
              <w:t>SYNTHESIS VALIDATED — CAPITAL TRACKS RISK AS EXPECTED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6/6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Widest real risk differentiation: Risk Tier (48.92% spread across 6 real segments). Real capital-rate monotonicity by Risk Tier: HOLDS.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r>
        <w:rPr>
          <w:i/>
          <w:color w:val="595959"/>
        </w:rPr>
        <w:t>Real headline result: Widest real risk differentiation: Risk Tier (48.92% spread across 6 real segments). Real capital-rate monotonicity by Risk Tier: HOLDS.</w:t>
      </w:r>
    </w:p>
    <w:p>
      <w:r>
        <w:rPr>
          <w:i/>
          <w:color w:val="595959"/>
        </w:rPr>
        <w:t>Synthesis Verdict (real, computed this run): SYNTHESIS VALIDATED — CAPITAL TRACKS RISK AS EXPECTED</w:t>
      </w:r>
    </w:p>
    <w:p>
      <w:pPr>
        <w:pStyle w:val="Heading1"/>
      </w:pPr>
      <w:r>
        <w:rPr>
          <w:color w:val="008300"/>
        </w:rPr>
        <w:t>Real Segmentation Power (compared, independently re-derived)</w:t>
      </w:r>
    </w:p>
    <w:p>
      <w:r>
        <w:t>Each axis's real default-rate spread is re-derived here directly from that axis's OWN source notebook, never from Problem 5 -- so this section stands even if Problem 5 has not been run. Where Problem 5 IS available, Section 5 of this notebook independently confirms these numbers agree with Problem 5's own real re-aggregation to the last basis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Real Segments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Min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Max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Spread</w:t>
            </w:r>
          </w:p>
        </w:tc>
      </w:tr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1.67%</w:t>
            </w:r>
          </w:p>
        </w:tc>
        <w:tc>
          <w:tcPr>
            <w:tcW w:type="dxa" w:w="1728"/>
          </w:tcPr>
          <w:p>
            <w:r>
              <w:t>50.59%</w:t>
            </w:r>
          </w:p>
        </w:tc>
        <w:tc>
          <w:tcPr>
            <w:tcW w:type="dxa" w:w="1728"/>
          </w:tcPr>
          <w:p>
            <w:r>
              <w:t>48.92%</w:t>
            </w:r>
          </w:p>
        </w:tc>
      </w:tr>
      <w:tr>
        <w:tc>
          <w:tcPr>
            <w:tcW w:type="dxa" w:w="1728"/>
          </w:tcPr>
          <w:p>
            <w:r>
              <w:t>Utilization Segment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5.42%</w:t>
            </w:r>
          </w:p>
        </w:tc>
        <w:tc>
          <w:tcPr>
            <w:tcW w:type="dxa" w:w="1728"/>
          </w:tcPr>
          <w:p>
            <w:r>
              <w:t>15.94%</w:t>
            </w:r>
          </w:p>
        </w:tc>
        <w:tc>
          <w:tcPr>
            <w:tcW w:type="dxa" w:w="1728"/>
          </w:tcPr>
          <w:p>
            <w:r>
              <w:t>10.51%</w:t>
            </w:r>
          </w:p>
        </w:tc>
      </w:tr>
      <w:tr>
        <w:tc>
          <w:tcPr>
            <w:tcW w:type="dxa" w:w="1728"/>
          </w:tcPr>
          <w:p>
            <w:r>
              <w:t>Bureau Segment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7.00%</w:t>
            </w:r>
          </w:p>
        </w:tc>
        <w:tc>
          <w:tcPr>
            <w:tcW w:type="dxa" w:w="1728"/>
          </w:tcPr>
          <w:p>
            <w:r>
              <w:t>12.37%</w:t>
            </w:r>
          </w:p>
        </w:tc>
        <w:tc>
          <w:tcPr>
            <w:tcW w:type="dxa" w:w="1728"/>
          </w:tcPr>
          <w:p>
            <w:r>
              <w:t>5.37%</w:t>
            </w:r>
          </w:p>
        </w:tc>
      </w:tr>
      <w:tr>
        <w:tc>
          <w:tcPr>
            <w:tcW w:type="dxa" w:w="1728"/>
          </w:tcPr>
          <w:p>
            <w:r>
              <w:t>Repayment Segment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5.98%</w:t>
            </w:r>
          </w:p>
        </w:tc>
        <w:tc>
          <w:tcPr>
            <w:tcW w:type="dxa" w:w="1728"/>
          </w:tcPr>
          <w:p>
            <w:r>
              <w:t>8.40%</w:t>
            </w:r>
          </w:p>
        </w:tc>
        <w:tc>
          <w:tcPr>
            <w:tcW w:type="dxa" w:w="1728"/>
          </w:tcPr>
          <w:p>
            <w:r>
              <w:t>2.42%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segmentation_p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cross-notebook consistency check: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Real dollar figures below are either a real population count x one small disclosed operations-cost assumption (Problems 1-2), or a real default-rate spread x a real average-loss-per-default anchor x one disclosed realization assumption (Problems 3-4). BENEFIT rows are summed into the annual run-rate; COST/RISK CONTEXT rows are informational only and never summed.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Data-Driven Risk Tier Construction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manual/ad-hoc risk-tier construction</w:t>
            </w:r>
          </w:p>
        </w:tc>
        <w:tc>
          <w:tcPr>
            <w:tcW w:type="dxa" w:w="2160"/>
          </w:tcPr>
          <w:p>
            <w:r>
              <w:t>$461,266.50</w:t>
            </w:r>
          </w:p>
        </w:tc>
      </w:tr>
      <w:tr>
        <w:tc>
          <w:tcPr>
            <w:tcW w:type="dxa" w:w="2160"/>
          </w:tcPr>
          <w:p>
            <w:r>
              <w:t>Problem 2 — Credit Bureau Behavioral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Avoided cost of manual credit-bureau file review</w:t>
            </w:r>
          </w:p>
        </w:tc>
        <w:tc>
          <w:tcPr>
            <w:tcW w:type="dxa" w:w="2160"/>
          </w:tcPr>
          <w:p>
            <w:r>
              <w:t>$526,982.00</w:t>
            </w:r>
          </w:p>
        </w:tc>
      </w:tr>
      <w:tr>
        <w:tc>
          <w:tcPr>
            <w:tcW w:type="dxa" w:w="2160"/>
          </w:tcPr>
          <w:p>
            <w:r>
              <w:t>Problem 3 — Repayment Behavior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repayment segment differentiation (4,070 real applicants in the highest-default segment x 2.42%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$2,657,608.60</w:t>
            </w:r>
          </w:p>
        </w:tc>
      </w:tr>
      <w:tr>
        <w:tc>
          <w:tcPr>
            <w:tcW w:type="dxa" w:w="2160"/>
          </w:tcPr>
          <w:p>
            <w:r>
              <w:t>Problem 4 — Revolving Credit Utilization Segmentation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utilization segment differentiation (17,345 real applicants in the highest-default segment x 10.51%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$49,157,498.93</w:t>
            </w:r>
          </w:p>
        </w:tc>
      </w:tr>
      <w:tr>
        <w:tc>
          <w:tcPr>
            <w:tcW w:type="dxa" w:w="2160"/>
          </w:tcPr>
          <w:p>
            <w:r>
              <w:t>Problem 5 — Cross-Axis Risk-Return Synthesis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capital exposure in the highest-default segment of this suite's widest-differentiating real axis (Risk Tier) -- informational, flags where real risk and real capital concentrate together, not a savings</w:t>
            </w:r>
          </w:p>
        </w:tc>
        <w:tc>
          <w:tcPr>
            <w:tcW w:type="dxa" w:w="2160"/>
          </w:tcPr>
          <w:p>
            <w:r>
              <w:t>$395,088,438.98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$52,803,356.03.</w:t>
      </w:r>
    </w:p>
    <w:p>
      <w:r>
        <w:rPr>
          <w:i/>
          <w:color w:val="595959"/>
        </w:rPr>
        <w:t>1 Month: $4,400,279.67 (ASSUMPTION-based, flat run-rate, no growth).</w:t>
      </w:r>
    </w:p>
    <w:p>
      <w:r>
        <w:rPr>
          <w:i/>
          <w:color w:val="595959"/>
        </w:rPr>
        <w:t>6 Months: $26,401,678.02 (ASSUMPTION-based, flat run-rate, no growth).</w:t>
      </w:r>
    </w:p>
    <w:p>
      <w:r>
        <w:rPr>
          <w:i/>
          <w:color w:val="595959"/>
        </w:rPr>
        <w:t>1 Year: $52,803,356.03 (ASSUMPTION-based, flat run-rate, no growth).</w:t>
      </w:r>
    </w:p>
    <w:p>
      <w:r>
        <w:rPr>
          <w:i/>
          <w:color w:val="595959"/>
        </w:rPr>
        <w:t>2 Years: $105,606,712.06 (ASSUMPTION-based, flat run-rate, no growth).</w:t>
      </w:r>
    </w:p>
    <w:p>
      <w:r>
        <w:rPr>
          <w:i/>
          <w:color w:val="595959"/>
        </w:rPr>
        <w:t>3 Years: $158,410,068.09 (ASSUMPTION-based, flat run-rate, no growth).</w:t>
      </w:r>
    </w:p>
    <w:p>
      <w:r>
        <w:rPr>
          <w:i/>
          <w:color w:val="595959"/>
        </w:rPr>
        <w:t>5 Years: $264,016,780.15 (ASSUMPTION-based, flat run-rate, no growth).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