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01: Data-Driven Risk Tier Construction</w:t>
      </w:r>
    </w:p>
    <w:p>
      <w:pPr>
        <w:jc w:val="center"/>
      </w:pPr>
      <w:r>
        <w:rPr>
          <w:i/>
          <w:color w:val="595959"/>
          <w:sz w:val="22"/>
        </w:rPr>
        <w:t>Real CART-based optimal binning of real PD vs. real default — 6 tiers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applicants, real PD scored from MP1 Notebook 01's champion (LightGBM).</w:t>
      </w:r>
    </w:p>
    <w:p>
      <w:pPr>
        <w:pStyle w:val="ListBullet"/>
      </w:pPr>
      <w:r>
        <w:t>6 real data-driven tiers found (requested up to 6).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Real capital-by-tier enrichment: included (MP2 Notebook 01 found).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6 real, statistically distinguishable risk tiers found in the data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1.7% in the lowest real-risk tier to 50.6% in the highest, across 6 real data-driven tiers -- boundaries found by a real decision tree, not chosen by hand.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Cramer's V=0.3773, 95% CI excludes 0.05: yes.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9.1s on 307,511 real applicants.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collections, pricing, or portfolio-management team real, data-driven tiers to differentiate treatment by -- distinct from the fixed 5-band convention used elsewhere in this suite for Basel capital purposes.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MP1 Notebook 01 retrain (PD would shift) or MP2 Notebook 01 re-run (refreshes the capital enrichment).</w:t>
      </w:r>
    </w:p>
    <w:p/>
    <w:p>
      <w:r>
        <w:rPr>
          <w:b/>
          <w:color w:val="EB6834"/>
          <w:sz w:val="25"/>
        </w:rPr>
        <w:t>Real capital concentrates in the highest data-driven risk tiers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capital-to-EAD rate ranges from 3.8% to 8.8% across the real data-driven tiers.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307,511 real applicants matched to MP2 Notebook 01's real capital output.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Shows how the real Basel capital charge (Mega Project 2) would redistribute under this notebook's statistically optimal tiering instead of the fixed 5-band convention.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whenever MP2 Notebook 01 is re-run.</w:t>
      </w:r>
    </w:p>
    <w:p/>
    <w:p>
      <w:pPr>
        <w:pStyle w:val="Heading1"/>
      </w:pPr>
      <w:r>
        <w:rPr>
          <w:color w:val="2A78D6"/>
        </w:rPr>
        <w:t>Real Default Rate by Data-Driven Risk Tier</w:t>
      </w:r>
    </w:p>
    <w:p>
      <w:r>
        <w:t>Real default rate and real population per tier, ordered by real mean PD.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Range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142,201</w:t>
            </w:r>
          </w:p>
        </w:tc>
        <w:tc>
          <w:tcPr>
            <w:tcW w:type="dxa" w:w="1728"/>
          </w:tcPr>
          <w:p>
            <w:r>
              <w:t>0.0256</w:t>
            </w:r>
          </w:p>
        </w:tc>
        <w:tc>
          <w:tcPr>
            <w:tcW w:type="dxa" w:w="1728"/>
          </w:tcPr>
          <w:p>
            <w:r>
              <w:t>[0.0017, 0.0451]</w:t>
            </w:r>
          </w:p>
        </w:tc>
        <w:tc>
          <w:tcPr>
            <w:tcW w:type="dxa" w:w="1728"/>
          </w:tcPr>
          <w:p>
            <w:r>
              <w:t>1.67%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67,539</w:t>
            </w:r>
          </w:p>
        </w:tc>
        <w:tc>
          <w:tcPr>
            <w:tcW w:type="dxa" w:w="1728"/>
          </w:tcPr>
          <w:p>
            <w:r>
              <w:t>0.0605</w:t>
            </w:r>
          </w:p>
        </w:tc>
        <w:tc>
          <w:tcPr>
            <w:tcW w:type="dxa" w:w="1728"/>
          </w:tcPr>
          <w:p>
            <w:r>
              <w:t>[0.0451, 0.0803]</w:t>
            </w:r>
          </w:p>
        </w:tc>
        <w:tc>
          <w:tcPr>
            <w:tcW w:type="dxa" w:w="1728"/>
          </w:tcPr>
          <w:p>
            <w:r>
              <w:t>5.36%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35,800</w:t>
            </w:r>
          </w:p>
        </w:tc>
        <w:tc>
          <w:tcPr>
            <w:tcW w:type="dxa" w:w="1728"/>
          </w:tcPr>
          <w:p>
            <w:r>
              <w:t>0.0970</w:t>
            </w:r>
          </w:p>
        </w:tc>
        <w:tc>
          <w:tcPr>
            <w:tcW w:type="dxa" w:w="1728"/>
          </w:tcPr>
          <w:p>
            <w:r>
              <w:t>[0.0803, 0.1177]</w:t>
            </w:r>
          </w:p>
        </w:tc>
        <w:tc>
          <w:tcPr>
            <w:tcW w:type="dxa" w:w="1728"/>
          </w:tcPr>
          <w:p>
            <w:r>
              <w:t>9.43%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28,697</w:t>
            </w:r>
          </w:p>
        </w:tc>
        <w:tc>
          <w:tcPr>
            <w:tcW w:type="dxa" w:w="1728"/>
          </w:tcPr>
          <w:p>
            <w:r>
              <w:t>0.1437</w:t>
            </w:r>
          </w:p>
        </w:tc>
        <w:tc>
          <w:tcPr>
            <w:tcW w:type="dxa" w:w="1728"/>
          </w:tcPr>
          <w:p>
            <w:r>
              <w:t>[0.1177, 0.1773]</w:t>
            </w:r>
          </w:p>
        </w:tc>
        <w:tc>
          <w:tcPr>
            <w:tcW w:type="dxa" w:w="1728"/>
          </w:tcPr>
          <w:p>
            <w:r>
              <w:t>15.81%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24,049</w:t>
            </w:r>
          </w:p>
        </w:tc>
        <w:tc>
          <w:tcPr>
            <w:tcW w:type="dxa" w:w="1728"/>
          </w:tcPr>
          <w:p>
            <w:r>
              <w:t>0.2322</w:t>
            </w:r>
          </w:p>
        </w:tc>
        <w:tc>
          <w:tcPr>
            <w:tcW w:type="dxa" w:w="1728"/>
          </w:tcPr>
          <w:p>
            <w:r>
              <w:t>[0.1773, 0.3192]</w:t>
            </w:r>
          </w:p>
        </w:tc>
        <w:tc>
          <w:tcPr>
            <w:tcW w:type="dxa" w:w="1728"/>
          </w:tcPr>
          <w:p>
            <w:r>
              <w:t>25.97%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9,225</w:t>
            </w:r>
          </w:p>
        </w:tc>
        <w:tc>
          <w:tcPr>
            <w:tcW w:type="dxa" w:w="1728"/>
          </w:tcPr>
          <w:p>
            <w:r>
              <w:t>0.4242</w:t>
            </w:r>
          </w:p>
        </w:tc>
        <w:tc>
          <w:tcPr>
            <w:tcW w:type="dxa" w:w="1728"/>
          </w:tcPr>
          <w:p>
            <w:r>
              <w:t>[0.3192, 0.8958]</w:t>
            </w:r>
          </w:p>
        </w:tc>
        <w:tc>
          <w:tcPr>
            <w:tcW w:type="dxa" w:w="1728"/>
          </w:tcPr>
          <w:p>
            <w:r>
              <w:t>50.59%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1.7% in the lowest real-risk tier to 50.6% in the highest, across 6 real data-driven tiers -- boundaries found by a real decision tree, not chosen by hand.</w:t>
      </w:r>
    </w:p>
    <w:p>
      <w:r>
        <w:rPr>
          <w:i/>
          <w:color w:val="595959"/>
        </w:rPr>
        <w:t>Chi-square p=0, Cramer's V=0.3773 (95% bootstrap CI [0.3725, 0.3820]).</w:t>
      </w:r>
    </w:p>
    <w:p>
      <w:r>
        <w:rPr>
          <w:i/>
          <w:color w:val="595959"/>
        </w:rPr>
        <w:t>Real population per tier ranges from 9,225 to 142,201 applicants, each tier holding at least 3.0% of the real portfolio by construction.</w:t>
      </w:r>
    </w:p>
    <w:p>
      <w:pPr>
        <w:pStyle w:val="Heading1"/>
      </w:pPr>
      <w:r>
        <w:rPr>
          <w:color w:val="EB6834"/>
        </w:rPr>
        <w:t>Real Capital-by-Tier Enrichment (from Mega Project 2 / Notebook 01)</w:t>
      </w:r>
    </w:p>
    <w:p>
      <w:r>
        <w:t>Real Expected Loss and Basel capital requirement, reused unchanged from Mega Project 2 / Notebook 01, aggregated by this notebook's new data-driven tiers.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Matched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EL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Capital / EAD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142,201</w:t>
            </w:r>
          </w:p>
        </w:tc>
        <w:tc>
          <w:tcPr>
            <w:tcW w:type="dxa" w:w="1728"/>
          </w:tcPr>
          <w:p>
            <w:r>
              <w:t>$664,380,524</w:t>
            </w:r>
          </w:p>
        </w:tc>
        <w:tc>
          <w:tcPr>
            <w:tcW w:type="dxa" w:w="1728"/>
          </w:tcPr>
          <w:p>
            <w:r>
              <w:t>$3,388,625,881</w:t>
            </w:r>
          </w:p>
        </w:tc>
        <w:tc>
          <w:tcPr>
            <w:tcW w:type="dxa" w:w="1728"/>
          </w:tcPr>
          <w:p>
            <w:r>
              <w:t>3.76%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67,539</w:t>
            </w:r>
          </w:p>
        </w:tc>
        <w:tc>
          <w:tcPr>
            <w:tcW w:type="dxa" w:w="1728"/>
          </w:tcPr>
          <w:p>
            <w:r>
              <w:t>$701,106,468</w:t>
            </w:r>
          </w:p>
        </w:tc>
        <w:tc>
          <w:tcPr>
            <w:tcW w:type="dxa" w:w="1728"/>
          </w:tcPr>
          <w:p>
            <w:r>
              <w:t>$2,279,580,370</w:t>
            </w:r>
          </w:p>
        </w:tc>
        <w:tc>
          <w:tcPr>
            <w:tcW w:type="dxa" w:w="1728"/>
          </w:tcPr>
          <w:p>
            <w:r>
              <w:t>5.57%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35,800</w:t>
            </w:r>
          </w:p>
        </w:tc>
        <w:tc>
          <w:tcPr>
            <w:tcW w:type="dxa" w:w="1728"/>
          </w:tcPr>
          <w:p>
            <w:r>
              <w:t>$565,927,078</w:t>
            </w:r>
          </w:p>
        </w:tc>
        <w:tc>
          <w:tcPr>
            <w:tcW w:type="dxa" w:w="1728"/>
          </w:tcPr>
          <w:p>
            <w:r>
              <w:t>$1,376,746,869</w:t>
            </w:r>
          </w:p>
        </w:tc>
        <w:tc>
          <w:tcPr>
            <w:tcW w:type="dxa" w:w="1728"/>
          </w:tcPr>
          <w:p>
            <w:r>
              <w:t>6.73%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28,697</w:t>
            </w:r>
          </w:p>
        </w:tc>
        <w:tc>
          <w:tcPr>
            <w:tcW w:type="dxa" w:w="1728"/>
          </w:tcPr>
          <w:p>
            <w:r>
              <w:t>$637,188,207</w:t>
            </w:r>
          </w:p>
        </w:tc>
        <w:tc>
          <w:tcPr>
            <w:tcW w:type="dxa" w:w="1728"/>
          </w:tcPr>
          <w:p>
            <w:r>
              <w:t>$1,217,700,423</w:t>
            </w:r>
          </w:p>
        </w:tc>
        <w:tc>
          <w:tcPr>
            <w:tcW w:type="dxa" w:w="1728"/>
          </w:tcPr>
          <w:p>
            <w:r>
              <w:t>7.77%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24,049</w:t>
            </w:r>
          </w:p>
        </w:tc>
        <w:tc>
          <w:tcPr>
            <w:tcW w:type="dxa" w:w="1728"/>
          </w:tcPr>
          <w:p>
            <w:r>
              <w:t>$812,607,287</w:t>
            </w:r>
          </w:p>
        </w:tc>
        <w:tc>
          <w:tcPr>
            <w:tcW w:type="dxa" w:w="1728"/>
          </w:tcPr>
          <w:p>
            <w:r>
              <w:t>$1,099,166,330</w:t>
            </w:r>
          </w:p>
        </w:tc>
        <w:tc>
          <w:tcPr>
            <w:tcW w:type="dxa" w:w="1728"/>
          </w:tcPr>
          <w:p>
            <w:r>
              <w:t>8.82%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9,225</w:t>
            </w:r>
          </w:p>
        </w:tc>
        <w:tc>
          <w:tcPr>
            <w:tcW w:type="dxa" w:w="1728"/>
          </w:tcPr>
          <w:p>
            <w:r>
              <w:t>$536,436,169</w:t>
            </w:r>
          </w:p>
        </w:tc>
        <w:tc>
          <w:tcPr>
            <w:tcW w:type="dxa" w:w="1728"/>
          </w:tcPr>
          <w:p>
            <w:r>
              <w:t>$395,088,439</w:t>
            </w:r>
          </w:p>
        </w:tc>
        <w:tc>
          <w:tcPr>
            <w:tcW w:type="dxa" w:w="1728"/>
          </w:tcPr>
          <w:p>
            <w:r>
              <w:t>8.74%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