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02: Credit Bureau Behavioral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k=4 (data-driven) — independent of PD level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applicants; 263,491 (85.7%) have real bureau history.</w:t>
      </w:r>
    </w:p>
    <w:p>
      <w:pPr>
        <w:pStyle w:val="ListBullet"/>
      </w:pPr>
      <w:r>
        <w:t>4 real data-driven behavioral segments found (silhouette=0.208).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Cross-axis independence from Problem 1's Risk Tier: Cramer's V=0.0915.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4 real, data-driven bureau behavioral segments found (silhouette=0.208)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7.0% to 12.4% across 5 real bureau behavioral segments (chi-square p=4.312e-199, Cramer's V=0.0549, 95% bootstrap CI [0.0512, 0.0585]).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263,491 of 307,511 real applicants (85.7%) clustered; 44,020 real applicants with no bureau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10.9s.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behavioral axis independent of PD level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bureau data becomes available.</w:t>
      </w:r>
    </w:p>
    <w:p/>
    <w:p>
      <w:pPr>
        <w:pStyle w:val="Heading1"/>
      </w:pPr>
      <w:r>
        <w:rPr>
          <w:color w:val="2A78D6"/>
        </w:rPr>
        <w:t>Real Default Rate by Bureau Behavioral Segment</w:t>
      </w:r>
    </w:p>
    <w:p>
      <w:r>
        <w:t>Real default rate and real population per segment, including applicants with no real bureau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Mean Overdue-Credit Share</w:t>
            </w:r>
          </w:p>
        </w:tc>
      </w:tr>
      <w:tr>
        <w:tc>
          <w:tcPr>
            <w:tcW w:type="dxa" w:w="2160"/>
          </w:tcPr>
          <w:p>
            <w:r>
              <w:t>Behavior Segment A</w:t>
            </w:r>
          </w:p>
        </w:tc>
        <w:tc>
          <w:tcPr>
            <w:tcW w:type="dxa" w:w="2160"/>
          </w:tcPr>
          <w:p>
            <w:r>
              <w:t>51,156</w:t>
            </w:r>
          </w:p>
        </w:tc>
        <w:tc>
          <w:tcPr>
            <w:tcW w:type="dxa" w:w="2160"/>
          </w:tcPr>
          <w:p>
            <w:r>
              <w:t>9.97%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Behavior Segment B</w:t>
            </w:r>
          </w:p>
        </w:tc>
        <w:tc>
          <w:tcPr>
            <w:tcW w:type="dxa" w:w="2160"/>
          </w:tcPr>
          <w:p>
            <w:r>
              <w:t>128,690</w:t>
            </w:r>
          </w:p>
        </w:tc>
        <w:tc>
          <w:tcPr>
            <w:tcW w:type="dxa" w:w="2160"/>
          </w:tcPr>
          <w:p>
            <w:r>
              <w:t>7.08%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</w:tr>
      <w:tr>
        <w:tc>
          <w:tcPr>
            <w:tcW w:type="dxa" w:w="2160"/>
          </w:tcPr>
          <w:p>
            <w:r>
              <w:t>Behavior Segment C</w:t>
            </w:r>
          </w:p>
        </w:tc>
        <w:tc>
          <w:tcPr>
            <w:tcW w:type="dxa" w:w="2160"/>
          </w:tcPr>
          <w:p>
            <w:r>
              <w:t>78,093</w:t>
            </w:r>
          </w:p>
        </w:tc>
        <w:tc>
          <w:tcPr>
            <w:tcW w:type="dxa" w:w="2160"/>
          </w:tcPr>
          <w:p>
            <w:r>
              <w:t>7.00%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Behavior Segment D</w:t>
            </w:r>
          </w:p>
        </w:tc>
        <w:tc>
          <w:tcPr>
            <w:tcW w:type="dxa" w:w="2160"/>
          </w:tcPr>
          <w:p>
            <w:r>
              <w:t>5,552</w:t>
            </w:r>
          </w:p>
        </w:tc>
        <w:tc>
          <w:tcPr>
            <w:tcW w:type="dxa" w:w="2160"/>
          </w:tcPr>
          <w:p>
            <w:r>
              <w:t>12.37%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No Bureau History</w:t>
            </w:r>
          </w:p>
        </w:tc>
        <w:tc>
          <w:tcPr>
            <w:tcW w:type="dxa" w:w="2160"/>
          </w:tcPr>
          <w:p>
            <w:r>
              <w:t>44,020</w:t>
            </w:r>
          </w:p>
        </w:tc>
        <w:tc>
          <w:tcPr>
            <w:tcW w:type="dxa" w:w="2160"/>
          </w:tcPr>
          <w:p>
            <w:r>
              <w:t>10.12%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ureau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7.0% to 12.4% across 5 real bureau behavioral segments (chi-square p=4.312e-199, Cramer's V=0.0549, 95% bootstrap CI [0.0512, 0.0585]).</w:t>
      </w:r>
    </w:p>
    <w:p>
      <w:r>
        <w:rPr>
          <w:i/>
          <w:color w:val="595959"/>
        </w:rPr>
        <w:t>Cross-check against Problem 1's Risk Tier: Cramer's V=0.0915 -- these are genuinely different real segmentation axes, not a relabeling.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