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03: Repayment Behavior Segmentation</w:t>
      </w:r>
    </w:p>
    <w:p>
      <w:pPr>
        <w:jc w:val="center"/>
      </w:pPr>
      <w:r>
        <w:rPr>
          <w:i/>
          <w:color w:val="595959"/>
          <w:sz w:val="22"/>
        </w:rPr>
        <w:t>Real K-Means clustering, k=2 (data-driven) — independent of PD level and bureau behavior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applicants; 291,643 (94.8%) have real previous-loan repayment history.</w:t>
      </w:r>
    </w:p>
    <w:p>
      <w:pPr>
        <w:pStyle w:val="ListBullet"/>
      </w:pPr>
      <w:r>
        <w:t>2 real data-driven repayment behavior segments found (silhouette=0.965).</w:t>
      </w:r>
    </w:p>
    <w:p>
      <w:pPr>
        <w:pStyle w:val="ListBullet"/>
      </w:pPr>
      <w:r>
        <w:t>Statistical robustness verdict: NOT YET STATISTICALLY ROBUST — failed: cramers_v_ci_excludes_zero (a separate, stricter statistical-significance gate, distinct from the structural pipeline integrity checks reported elsewhere in this notebook's output)</w:t>
      </w:r>
    </w:p>
    <w:p>
      <w:pPr>
        <w:pStyle w:val="ListBullet"/>
      </w:pPr>
      <w:r>
        <w:t>Cross-axis independence from Problem 1's Risk Tier: Cramer's V=0.0438. From Problem 2's Bureau Segment: Cramer's V=0.0518.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2 real, data-driven repayment behavior segments found (silhouette=0.965)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6.0% to 8.4% across 3 real repayment behavior segments (chi-square p=3.249e-22, Cramer's V=0.0179, 95% bootstrap CI [0.0149, 0.0210]).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291,643 of 307,511 real applicants (94.8%) clustered; 15,868 real applicants with no previous-loan repayment history reported as their own explicit segment.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19.4s.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real repayment-discipline axis, built from the applicant's own conduct on previous Home Credit loans, independent of PD level and external bureau behavior, to differentiate treatment by.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re-run (refreshes PD/TARGET/RISK_TIER) or when new real instalment/POS-cash data becomes available.</w:t>
      </w:r>
    </w:p>
    <w:p/>
    <w:p>
      <w:pPr>
        <w:pStyle w:val="Heading1"/>
      </w:pPr>
      <w:r>
        <w:rPr>
          <w:color w:val="2A78D6"/>
        </w:rPr>
        <w:t>Real Default Rate by Repayment Behavior Segment</w:t>
      </w:r>
    </w:p>
    <w:p>
      <w:r>
        <w:t>Real default rate and real population per segment, including applicants with no real previous-loan repayment history as their own explicit segment.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Mean % Instalments Late</w:t>
            </w:r>
          </w:p>
        </w:tc>
      </w:tr>
      <w:tr>
        <w:tc>
          <w:tcPr>
            <w:tcW w:type="dxa" w:w="2160"/>
          </w:tcPr>
          <w:p>
            <w:r>
              <w:t>Repayment Segment A</w:t>
            </w:r>
          </w:p>
        </w:tc>
        <w:tc>
          <w:tcPr>
            <w:tcW w:type="dxa" w:w="2160"/>
          </w:tcPr>
          <w:p>
            <w:r>
              <w:t>287,573</w:t>
            </w:r>
          </w:p>
        </w:tc>
        <w:tc>
          <w:tcPr>
            <w:tcW w:type="dxa" w:w="2160"/>
          </w:tcPr>
          <w:p>
            <w:r>
              <w:t>8.18%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</w:tr>
      <w:tr>
        <w:tc>
          <w:tcPr>
            <w:tcW w:type="dxa" w:w="2160"/>
          </w:tcPr>
          <w:p>
            <w:r>
              <w:t>Repayment Segment B</w:t>
            </w:r>
          </w:p>
        </w:tc>
        <w:tc>
          <w:tcPr>
            <w:tcW w:type="dxa" w:w="2160"/>
          </w:tcPr>
          <w:p>
            <w:r>
              <w:t>4,070</w:t>
            </w:r>
          </w:p>
        </w:tc>
        <w:tc>
          <w:tcPr>
            <w:tcW w:type="dxa" w:w="2160"/>
          </w:tcPr>
          <w:p>
            <w:r>
              <w:t>8.40%</w:t>
            </w:r>
          </w:p>
        </w:tc>
        <w:tc>
          <w:tcPr>
            <w:tcW w:type="dxa" w:w="2160"/>
          </w:tcPr>
          <w:p>
            <w:r>
              <w:t>18.4%</w:t>
            </w:r>
          </w:p>
        </w:tc>
      </w:tr>
      <w:tr>
        <w:tc>
          <w:tcPr>
            <w:tcW w:type="dxa" w:w="2160"/>
          </w:tcPr>
          <w:p>
            <w:r>
              <w:t>No Repayment History</w:t>
            </w:r>
          </w:p>
        </w:tc>
        <w:tc>
          <w:tcPr>
            <w:tcW w:type="dxa" w:w="2160"/>
          </w:tcPr>
          <w:p>
            <w:r>
              <w:t>15,868</w:t>
            </w:r>
          </w:p>
        </w:tc>
        <w:tc>
          <w:tcPr>
            <w:tcW w:type="dxa" w:w="2160"/>
          </w:tcPr>
          <w:p>
            <w:r>
              <w:t>5.98%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repayment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6.0% to 8.4% across 3 real repayment behavior segments (chi-square p=3.249e-22, Cramer's V=0.0179, 95% bootstrap CI [0.0149, 0.0210]).</w:t>
      </w:r>
    </w:p>
    <w:p>
      <w:r>
        <w:rPr>
          <w:i/>
          <w:color w:val="595959"/>
        </w:rPr>
        <w:t>Cross-check against Problem 1's Risk Tier: Cramer's V=0.0438; against Problem 2's Bureau Segment: Cramer's V=0.0518.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